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kinsoku/>
        <w:overflowPunct/>
        <w:topLinePunct w:val="0"/>
        <w:bidi w:val="0"/>
        <w:adjustRightInd/>
        <w:snapToGrid/>
        <w:spacing w:line="560" w:lineRule="exact"/>
        <w:textAlignment w:val="auto"/>
        <w:rPr>
          <w:rFonts w:ascii="黑体" w:hAnsi="黑体" w:eastAsia="黑体"/>
          <w:sz w:val="32"/>
          <w:szCs w:val="32"/>
        </w:rPr>
      </w:pPr>
    </w:p>
    <w:p>
      <w:pPr>
        <w:keepNext w:val="0"/>
        <w:keepLines w:val="0"/>
        <w:pageBreakBefore w:val="0"/>
        <w:shd w:val="clear"/>
        <w:kinsoku/>
        <w:overflowPunct/>
        <w:topLinePunct w:val="0"/>
        <w:bidi w:val="0"/>
        <w:adjustRightInd/>
        <w:snapToGrid/>
        <w:spacing w:line="560" w:lineRule="exact"/>
        <w:jc w:val="center"/>
        <w:textAlignment w:val="auto"/>
        <w:rPr>
          <w:rFonts w:ascii="方正小标宋_GBK" w:hAnsi="宋体" w:eastAsia="方正小标宋_GBK"/>
          <w:sz w:val="44"/>
          <w:szCs w:val="44"/>
        </w:rPr>
      </w:pPr>
    </w:p>
    <w:p>
      <w:pPr>
        <w:keepNext w:val="0"/>
        <w:keepLines w:val="0"/>
        <w:pageBreakBefore w:val="0"/>
        <w:shd w:val="clear"/>
        <w:kinsoku/>
        <w:overflowPunct/>
        <w:topLinePunct w:val="0"/>
        <w:bidi w:val="0"/>
        <w:adjustRightInd/>
        <w:snapToGrid/>
        <w:spacing w:line="560" w:lineRule="exact"/>
        <w:jc w:val="center"/>
        <w:textAlignment w:val="auto"/>
        <w:rPr>
          <w:rFonts w:ascii="方正小标宋_GBK" w:hAnsi="宋体" w:eastAsia="方正小标宋_GBK"/>
          <w:sz w:val="44"/>
          <w:szCs w:val="44"/>
        </w:rPr>
      </w:pPr>
    </w:p>
    <w:p>
      <w:pPr>
        <w:keepNext w:val="0"/>
        <w:keepLines w:val="0"/>
        <w:pageBreakBefore w:val="0"/>
        <w:shd w:val="clear"/>
        <w:kinsoku/>
        <w:overflowPunct/>
        <w:topLinePunct w:val="0"/>
        <w:bidi w:val="0"/>
        <w:adjustRightInd/>
        <w:snapToGrid/>
        <w:spacing w:line="560" w:lineRule="exact"/>
        <w:jc w:val="center"/>
        <w:textAlignment w:val="auto"/>
        <w:rPr>
          <w:rFonts w:ascii="方正小标宋_GBK" w:hAnsi="宋体" w:eastAsia="方正小标宋_GBK"/>
          <w:sz w:val="44"/>
          <w:szCs w:val="44"/>
        </w:rPr>
      </w:pPr>
    </w:p>
    <w:p>
      <w:pPr>
        <w:keepNext w:val="0"/>
        <w:keepLines w:val="0"/>
        <w:pageBreakBefore w:val="0"/>
        <w:shd w:val="clear"/>
        <w:kinsoku/>
        <w:overflowPunct/>
        <w:topLinePunct w:val="0"/>
        <w:bidi w:val="0"/>
        <w:adjustRightInd/>
        <w:snapToGrid/>
        <w:spacing w:line="560" w:lineRule="exact"/>
        <w:jc w:val="center"/>
        <w:textAlignment w:val="auto"/>
        <w:rPr>
          <w:rFonts w:ascii="方正小标宋_GBK" w:hAnsi="宋体" w:eastAsia="方正小标宋_GBK"/>
          <w:sz w:val="44"/>
          <w:szCs w:val="44"/>
        </w:rPr>
      </w:pP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_GBK" w:hAnsi="宋体" w:eastAsia="方正小标宋_GBK" w:cs="Times New Roman"/>
          <w:kern w:val="2"/>
          <w:sz w:val="44"/>
          <w:szCs w:val="44"/>
          <w:highlight w:val="none"/>
          <w:lang w:val="en-US" w:eastAsia="zh-CN" w:bidi="ar-SA"/>
        </w:rPr>
      </w:pPr>
      <w:r>
        <w:rPr>
          <w:rFonts w:hint="eastAsia" w:ascii="方正小标宋_GBK" w:hAnsi="宋体" w:eastAsia="方正小标宋_GBK" w:cs="Times New Roman"/>
          <w:kern w:val="2"/>
          <w:sz w:val="44"/>
          <w:szCs w:val="44"/>
          <w:highlight w:val="none"/>
          <w:lang w:val="en-US" w:eastAsia="zh-CN" w:bidi="ar-SA"/>
        </w:rPr>
        <w:t>新疆维吾尔自治区图书馆（新疆维吾尔自治区古籍保护中心）2024年度部门</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_GBK" w:hAnsi="宋体" w:eastAsia="方正小标宋_GBK" w:cs="Times New Roman"/>
          <w:kern w:val="2"/>
          <w:sz w:val="44"/>
          <w:szCs w:val="44"/>
          <w:highlight w:val="none"/>
          <w:lang w:val="en-US" w:eastAsia="zh-CN" w:bidi="ar-SA"/>
        </w:rPr>
      </w:pPr>
      <w:r>
        <w:rPr>
          <w:rFonts w:hint="eastAsia" w:ascii="方正小标宋_GBK" w:hAnsi="宋体" w:eastAsia="方正小标宋_GBK" w:cs="Times New Roman"/>
          <w:kern w:val="2"/>
          <w:sz w:val="44"/>
          <w:szCs w:val="44"/>
          <w:highlight w:val="none"/>
          <w:lang w:val="en-US" w:eastAsia="zh-CN" w:bidi="ar-SA"/>
        </w:rPr>
        <w:t>决算公开说明</w:t>
      </w:r>
    </w:p>
    <w:p>
      <w:pPr>
        <w:keepNext w:val="0"/>
        <w:keepLines w:val="0"/>
        <w:pageBreakBefore w:val="0"/>
        <w:shd w:val="clear"/>
        <w:kinsoku/>
        <w:overflowPunct/>
        <w:topLinePunct w:val="0"/>
        <w:bidi w:val="0"/>
        <w:adjustRightInd/>
        <w:snapToGrid/>
        <w:spacing w:line="560" w:lineRule="exact"/>
        <w:jc w:val="center"/>
        <w:textAlignment w:val="auto"/>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w:t>
      </w:r>
      <w:r>
        <w:rPr>
          <w:rFonts w:hint="eastAsia" w:ascii="仿宋_GB2312" w:hAnsi="仿宋_GB2312" w:eastAsia="仿宋_GB2312" w:cs="仿宋_GB2312"/>
          <w:b/>
          <w:kern w:val="0"/>
          <w:sz w:val="36"/>
          <w:szCs w:val="36"/>
          <w:lang w:val="en-US" w:eastAsia="zh-CN"/>
        </w:rPr>
        <w:t xml:space="preserve"> </w:t>
      </w:r>
      <w:r>
        <w:rPr>
          <w:rFonts w:hint="eastAsia" w:ascii="仿宋_GB2312" w:hAnsi="仿宋_GB2312" w:eastAsia="仿宋_GB2312" w:cs="仿宋_GB2312"/>
          <w:b/>
          <w:kern w:val="0"/>
          <w:sz w:val="36"/>
          <w:szCs w:val="36"/>
        </w:rPr>
        <w:t>录</w:t>
      </w:r>
    </w:p>
    <w:p>
      <w:pPr>
        <w:pStyle w:val="6"/>
        <w:keepNext w:val="0"/>
        <w:keepLines w:val="0"/>
        <w:pageBreakBefore w:val="0"/>
        <w:shd w:val="clear"/>
        <w:tabs>
          <w:tab w:val="right" w:leader="dot" w:pos="8306"/>
        </w:tabs>
        <w:kinsoku/>
        <w:overflowPunct/>
        <w:topLinePunct w:val="0"/>
        <w:bidi w:val="0"/>
        <w:adjustRightInd/>
        <w:snapToGrid/>
        <w:spacing w:line="56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"_Toc31918" </w:instrText>
      </w:r>
      <w:r>
        <w:fldChar w:fldCharType="separate"/>
      </w:r>
      <w:r>
        <w:rPr>
          <w:rFonts w:hint="eastAsia" w:ascii="仿宋_GB2312" w:hAnsi="仿宋_GB2312" w:eastAsia="仿宋_GB2312" w:cs="仿宋_GB2312"/>
          <w:b/>
          <w:bCs/>
          <w:sz w:val="32"/>
          <w:szCs w:val="32"/>
        </w:rPr>
        <w:t>第一部分</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单位概况</w:t>
      </w:r>
      <w:r>
        <w:rPr>
          <w:rFonts w:hint="eastAsia" w:ascii="仿宋_GB2312" w:hAnsi="仿宋_GB2312" w:eastAsia="仿宋_GB2312" w:cs="仿宋_GB2312"/>
          <w:b/>
          <w:bCs/>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"_Toc2898"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"_Toc1387"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keepNext w:val="0"/>
        <w:keepLines w:val="0"/>
        <w:pageBreakBefore w:val="0"/>
        <w:shd w:val="clear"/>
        <w:tabs>
          <w:tab w:val="right" w:leader="dot" w:pos="8306"/>
        </w:tabs>
        <w:kinsoku/>
        <w:overflowPunct/>
        <w:topLinePunct w:val="0"/>
        <w:bidi w:val="0"/>
        <w:adjustRightInd/>
        <w:snapToGrid/>
        <w:spacing w:line="560" w:lineRule="exact"/>
        <w:textAlignment w:val="auto"/>
        <w:rPr>
          <w:rFonts w:ascii="仿宋_GB2312" w:hAnsi="仿宋_GB2312" w:eastAsia="仿宋_GB2312" w:cs="仿宋_GB2312"/>
          <w:b/>
          <w:bCs/>
          <w:sz w:val="32"/>
          <w:szCs w:val="32"/>
        </w:rPr>
      </w:pPr>
      <w:r>
        <w:fldChar w:fldCharType="begin"/>
      </w:r>
      <w:r>
        <w:instrText xml:space="preserve"> HYPERLINK \l "_Toc7559"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"_Toc6321"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"_Toc6311"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"_Toc20629"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"_Toc7371"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"_Toc18905"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3"/>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"_Toc1165" </w:instrText>
      </w:r>
      <w:r>
        <w:fldChar w:fldCharType="separate"/>
      </w:r>
      <w:r>
        <w:rPr>
          <w:rFonts w:hint="eastAsia" w:ascii="仿宋_GB2312" w:hAnsi="仿宋_GB2312" w:eastAsia="仿宋_GB2312" w:cs="仿宋_GB2312"/>
          <w:sz w:val="32"/>
          <w:szCs w:val="32"/>
        </w:rPr>
        <w:t>（一）一般公共预算财政拨款支出决算总体情况</w:t>
      </w:r>
      <w:r>
        <w:rPr>
          <w:rFonts w:hint="eastAsia" w:ascii="仿宋_GB2312" w:hAnsi="仿宋_GB2312" w:eastAsia="仿宋_GB2312" w:cs="仿宋_GB2312"/>
          <w:sz w:val="32"/>
          <w:szCs w:val="32"/>
        </w:rPr>
        <w:fldChar w:fldCharType="end"/>
      </w:r>
    </w:p>
    <w:p>
      <w:pPr>
        <w:pStyle w:val="3"/>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"_Toc27147" </w:instrText>
      </w:r>
      <w:r>
        <w:fldChar w:fldCharType="separate"/>
      </w:r>
      <w:r>
        <w:rPr>
          <w:rFonts w:hint="eastAsia" w:ascii="仿宋_GB2312" w:hAnsi="仿宋_GB2312" w:eastAsia="仿宋_GB2312" w:cs="仿宋_GB2312"/>
          <w:sz w:val="32"/>
          <w:szCs w:val="32"/>
        </w:rPr>
        <w:t>（二）一般公共预算财政拨款支出决算结构情况</w:t>
      </w:r>
      <w:r>
        <w:rPr>
          <w:rFonts w:hint="eastAsia" w:ascii="仿宋_GB2312" w:hAnsi="仿宋_GB2312" w:eastAsia="仿宋_GB2312" w:cs="仿宋_GB2312"/>
          <w:sz w:val="32"/>
          <w:szCs w:val="32"/>
        </w:rPr>
        <w:fldChar w:fldCharType="end"/>
      </w:r>
    </w:p>
    <w:p>
      <w:pPr>
        <w:pStyle w:val="3"/>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"_Toc10037" </w:instrText>
      </w:r>
      <w:r>
        <w:fldChar w:fldCharType="separate"/>
      </w:r>
      <w:r>
        <w:rPr>
          <w:rFonts w:hint="eastAsia" w:ascii="仿宋_GB2312" w:hAnsi="仿宋_GB2312" w:eastAsia="仿宋_GB2312" w:cs="仿宋_GB2312"/>
          <w:sz w:val="32"/>
          <w:szCs w:val="32"/>
        </w:rPr>
        <w:t>（三）一般公共预算财政拨款支出决算具体情况</w:t>
      </w:r>
      <w:r>
        <w:rPr>
          <w:rFonts w:hint="eastAsia" w:ascii="仿宋_GB2312" w:hAnsi="仿宋_GB2312" w:eastAsia="仿宋_GB2312" w:cs="仿宋_GB2312"/>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"_Toc23415"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"_Toc7523" </w:instrText>
      </w:r>
      <w:r>
        <w:fldChar w:fldCharType="separate"/>
      </w:r>
      <w:r>
        <w:rPr>
          <w:rFonts w:hint="eastAsia" w:ascii="仿宋_GB2312" w:hAnsi="仿宋_GB2312" w:eastAsia="仿宋_GB2312" w:cs="仿宋_GB2312"/>
          <w:bCs/>
          <w:kern w:val="0"/>
          <w:sz w:val="32"/>
          <w:szCs w:val="32"/>
        </w:rPr>
        <w:t>七、政府性基金预算财政拨款收入支出决算情况说明</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"_Toc5563" </w:instrText>
      </w:r>
      <w:r>
        <w:fldChar w:fldCharType="separate"/>
      </w:r>
      <w:r>
        <w:rPr>
          <w:rFonts w:hint="eastAsia" w:ascii="仿宋_GB2312" w:hAnsi="仿宋_GB2312" w:eastAsia="仿宋_GB2312" w:cs="仿宋_GB2312"/>
          <w:bCs/>
          <w:kern w:val="0"/>
          <w:sz w:val="32"/>
          <w:szCs w:val="32"/>
        </w:rPr>
        <w:t>八、国有资本经营预算财政拨款收入支出决算情况说明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"_Toc9161" </w:instrText>
      </w:r>
      <w:r>
        <w:fldChar w:fldCharType="separate"/>
      </w:r>
      <w:r>
        <w:rPr>
          <w:rFonts w:hint="eastAsia" w:ascii="仿宋_GB2312" w:hAnsi="仿宋_GB2312" w:eastAsia="仿宋_GB2312" w:cs="仿宋_GB2312"/>
          <w:bCs/>
          <w:kern w:val="0"/>
          <w:sz w:val="32"/>
          <w:szCs w:val="32"/>
        </w:rPr>
        <w:t>九、财政拨款“三公”经费支出决算情况说明</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"_Toc16395" </w:instrText>
      </w:r>
      <w:r>
        <w:fldChar w:fldCharType="separate"/>
      </w:r>
      <w:r>
        <w:rPr>
          <w:rFonts w:hint="eastAsia" w:ascii="仿宋_GB2312" w:hAnsi="仿宋_GB2312" w:eastAsia="仿宋_GB2312" w:cs="仿宋_GB2312"/>
          <w:bCs/>
          <w:kern w:val="0"/>
          <w:sz w:val="32"/>
          <w:szCs w:val="32"/>
        </w:rPr>
        <w:t>十、其他重要事项的情况说明</w:t>
      </w:r>
      <w:r>
        <w:rPr>
          <w:rFonts w:hint="eastAsia" w:ascii="仿宋_GB2312" w:hAnsi="仿宋_GB2312" w:eastAsia="仿宋_GB2312" w:cs="仿宋_GB2312"/>
          <w:bCs/>
          <w:kern w:val="0"/>
          <w:sz w:val="32"/>
          <w:szCs w:val="32"/>
        </w:rPr>
        <w:fldChar w:fldCharType="end"/>
      </w:r>
    </w:p>
    <w:p>
      <w:pPr>
        <w:pStyle w:val="3"/>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"_Toc21748" </w:instrText>
      </w:r>
      <w:r>
        <w:fldChar w:fldCharType="separate"/>
      </w:r>
      <w:r>
        <w:rPr>
          <w:rFonts w:hint="eastAsia" w:ascii="仿宋_GB2312" w:hAnsi="仿宋_GB2312" w:eastAsia="仿宋_GB2312" w:cs="仿宋_GB2312"/>
          <w:sz w:val="32"/>
          <w:szCs w:val="32"/>
        </w:rPr>
        <w:t>（一）机关运行经费及公用经费支出情况</w:t>
      </w:r>
      <w:r>
        <w:rPr>
          <w:rFonts w:hint="eastAsia" w:ascii="仿宋_GB2312" w:hAnsi="仿宋_GB2312" w:eastAsia="仿宋_GB2312" w:cs="仿宋_GB2312"/>
          <w:sz w:val="32"/>
          <w:szCs w:val="32"/>
        </w:rPr>
        <w:fldChar w:fldCharType="end"/>
      </w:r>
    </w:p>
    <w:p>
      <w:pPr>
        <w:pStyle w:val="3"/>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"_Toc25177"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"_Toc31294"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fldChar w:fldCharType="begin"/>
      </w:r>
      <w:r>
        <w:rPr>
          <w:rFonts w:hint="eastAsia" w:ascii="仿宋_GB2312" w:hAnsi="仿宋_GB2312" w:eastAsia="仿宋_GB2312" w:cs="仿宋_GB2312"/>
          <w:bCs/>
          <w:kern w:val="0"/>
          <w:sz w:val="32"/>
          <w:szCs w:val="32"/>
        </w:rPr>
        <w:instrText xml:space="preserve"> HYPERLINK \l "_Toc17664" </w:instrText>
      </w:r>
      <w:r>
        <w:rPr>
          <w:rFonts w:hint="eastAsia" w:ascii="仿宋_GB2312" w:hAnsi="仿宋_GB2312" w:eastAsia="仿宋_GB2312" w:cs="仿宋_GB2312"/>
          <w:bCs/>
          <w:kern w:val="0"/>
          <w:sz w:val="32"/>
          <w:szCs w:val="32"/>
        </w:rP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hint="default"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十二、其他需说明的事项</w:t>
      </w:r>
    </w:p>
    <w:p>
      <w:pPr>
        <w:pStyle w:val="6"/>
        <w:keepNext w:val="0"/>
        <w:keepLines w:val="0"/>
        <w:pageBreakBefore w:val="0"/>
        <w:shd w:val="clear"/>
        <w:tabs>
          <w:tab w:val="right" w:leader="dot" w:pos="8306"/>
        </w:tabs>
        <w:kinsoku/>
        <w:overflowPunct/>
        <w:topLinePunct w:val="0"/>
        <w:bidi w:val="0"/>
        <w:adjustRightInd/>
        <w:snapToGrid/>
        <w:spacing w:line="560" w:lineRule="exact"/>
        <w:textAlignment w:val="auto"/>
        <w:rPr>
          <w:rFonts w:ascii="仿宋_GB2312" w:hAnsi="仿宋_GB2312" w:eastAsia="仿宋_GB2312" w:cs="仿宋_GB2312"/>
          <w:b/>
          <w:bCs/>
          <w:sz w:val="32"/>
          <w:szCs w:val="32"/>
        </w:rPr>
      </w:pPr>
      <w:r>
        <w:fldChar w:fldCharType="begin"/>
      </w:r>
      <w:r>
        <w:instrText xml:space="preserve"> HYPERLINK \l "_Toc30038"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keepNext w:val="0"/>
        <w:keepLines w:val="0"/>
        <w:pageBreakBefore w:val="0"/>
        <w:shd w:val="clear"/>
        <w:tabs>
          <w:tab w:val="right" w:leader="dot" w:pos="8306"/>
        </w:tabs>
        <w:kinsoku/>
        <w:overflowPunct/>
        <w:topLinePunct w:val="0"/>
        <w:bidi w:val="0"/>
        <w:adjustRightInd/>
        <w:snapToGrid/>
        <w:spacing w:line="560" w:lineRule="exact"/>
        <w:textAlignment w:val="auto"/>
        <w:rPr>
          <w:rFonts w:ascii="仿宋_GB2312" w:hAnsi="仿宋_GB2312" w:eastAsia="仿宋_GB2312" w:cs="仿宋_GB2312"/>
          <w:b/>
          <w:bCs/>
          <w:sz w:val="32"/>
          <w:szCs w:val="32"/>
        </w:rPr>
      </w:pPr>
      <w:r>
        <w:fldChar w:fldCharType="begin"/>
      </w:r>
      <w:r>
        <w:instrText xml:space="preserve"> HYPERLINK \l "_Toc6831" </w:instrText>
      </w:r>
      <w:r>
        <w:fldChar w:fldCharType="separate"/>
      </w:r>
      <w:r>
        <w:rPr>
          <w:rFonts w:hint="eastAsia" w:ascii="仿宋_GB2312" w:hAnsi="仿宋_GB2312" w:eastAsia="仿宋_GB2312" w:cs="仿宋_GB2312"/>
          <w:b/>
          <w:bCs/>
          <w:sz w:val="32"/>
          <w:szCs w:val="32"/>
        </w:rPr>
        <w:t>第四部分 部门决算报表（见附</w:t>
      </w:r>
      <w:r>
        <w:rPr>
          <w:rFonts w:hint="eastAsia" w:ascii="仿宋_GB2312" w:hAnsi="仿宋_GB2312" w:eastAsia="仿宋_GB2312" w:cs="仿宋_GB2312"/>
          <w:b/>
          <w:bCs/>
          <w:sz w:val="32"/>
          <w:szCs w:val="32"/>
          <w:lang w:val="en-US" w:eastAsia="zh-CN"/>
        </w:rPr>
        <w:t>件1</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"_Toc3845"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"_Toc11927"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"_Toc7443"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"_Toc24884"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"_Toc16518"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"_Toc20514"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"_Toc18055" </w:instrText>
      </w:r>
      <w:r>
        <w:fldChar w:fldCharType="separate"/>
      </w:r>
      <w:r>
        <w:rPr>
          <w:rFonts w:hint="eastAsia" w:ascii="仿宋_GB2312" w:hAnsi="仿宋_GB2312" w:eastAsia="仿宋_GB2312" w:cs="仿宋_GB2312"/>
          <w:bCs/>
          <w:kern w:val="0"/>
          <w:sz w:val="32"/>
          <w:szCs w:val="32"/>
        </w:rPr>
        <w:t>七、《政府性基金预算财政拨款收入支出决算表》</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ascii="仿宋_GB2312" w:hAnsi="仿宋_GB2312" w:eastAsia="仿宋_GB2312" w:cs="仿宋_GB2312"/>
          <w:sz w:val="32"/>
          <w:szCs w:val="32"/>
        </w:rPr>
      </w:pPr>
      <w:r>
        <w:fldChar w:fldCharType="begin"/>
      </w:r>
      <w:r>
        <w:instrText xml:space="preserve"> HYPERLINK \l "_Toc10719" </w:instrText>
      </w:r>
      <w:r>
        <w:fldChar w:fldCharType="separate"/>
      </w:r>
      <w:r>
        <w:rPr>
          <w:rFonts w:hint="eastAsia" w:ascii="仿宋_GB2312" w:hAnsi="仿宋_GB2312" w:eastAsia="仿宋_GB2312" w:cs="仿宋_GB2312"/>
          <w:bCs/>
          <w:kern w:val="0"/>
          <w:sz w:val="32"/>
          <w:szCs w:val="32"/>
        </w:rPr>
        <w:t>八、《国有资本经营预算财政拨款收入支出决算表》</w:t>
      </w:r>
      <w:r>
        <w:rPr>
          <w:rFonts w:hint="eastAsia" w:ascii="仿宋_GB2312" w:hAnsi="仿宋_GB2312" w:eastAsia="仿宋_GB2312" w:cs="仿宋_GB2312"/>
          <w:bCs/>
          <w:kern w:val="0"/>
          <w:sz w:val="32"/>
          <w:szCs w:val="32"/>
        </w:rPr>
        <w:fldChar w:fldCharType="end"/>
      </w:r>
    </w:p>
    <w:p>
      <w:pPr>
        <w:pStyle w:val="7"/>
        <w:keepNext w:val="0"/>
        <w:keepLines w:val="0"/>
        <w:pageBreakBefore w:val="0"/>
        <w:shd w:val="clear"/>
        <w:tabs>
          <w:tab w:val="right" w:leader="dot" w:pos="8306"/>
        </w:tabs>
        <w:kinsoku/>
        <w:overflowPunct/>
        <w:topLinePunct w:val="0"/>
        <w:bidi w:val="0"/>
        <w:adjustRightInd/>
        <w:snapToGrid/>
        <w:spacing w:line="560" w:lineRule="exact"/>
        <w:ind w:left="0" w:leftChars="0"/>
        <w:textAlignment w:val="auto"/>
        <w:rPr>
          <w:rFonts w:hint="eastAsia" w:ascii="仿宋_GB2312" w:hAnsi="仿宋_GB2312" w:eastAsia="仿宋_GB2312" w:cs="仿宋_GB2312"/>
          <w:bCs/>
          <w:kern w:val="0"/>
          <w:sz w:val="32"/>
          <w:szCs w:val="32"/>
        </w:rPr>
      </w:pPr>
      <w:r>
        <w:fldChar w:fldCharType="begin"/>
      </w:r>
      <w:r>
        <w:instrText xml:space="preserve"> HYPERLINK \l "_Toc18861" </w:instrText>
      </w:r>
      <w:r>
        <w:fldChar w:fldCharType="separate"/>
      </w:r>
      <w:r>
        <w:rPr>
          <w:rFonts w:hint="eastAsia" w:ascii="仿宋_GB2312" w:hAnsi="仿宋_GB2312" w:eastAsia="仿宋_GB2312" w:cs="仿宋_GB2312"/>
          <w:bCs/>
          <w:kern w:val="0"/>
          <w:sz w:val="32"/>
          <w:szCs w:val="32"/>
        </w:rPr>
        <w:t>九、《财政拨款“三公”经费支出决算表》</w:t>
      </w:r>
      <w:r>
        <w:rPr>
          <w:rFonts w:hint="eastAsia" w:ascii="仿宋_GB2312" w:hAnsi="仿宋_GB2312" w:eastAsia="仿宋_GB2312" w:cs="仿宋_GB2312"/>
          <w:bCs/>
          <w:kern w:val="0"/>
          <w:sz w:val="32"/>
          <w:szCs w:val="32"/>
        </w:rPr>
        <w:fldChar w:fldCharType="end"/>
      </w:r>
    </w:p>
    <w:p>
      <w:pPr>
        <w:keepNext w:val="0"/>
        <w:keepLines w:val="0"/>
        <w:pageBreakBefore w:val="0"/>
        <w:widowControl/>
        <w:shd w:val="clear"/>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w:t>
      </w:r>
      <w:r>
        <w:rPr>
          <w:rFonts w:hint="eastAsia" w:ascii="仿宋_GB2312" w:eastAsia="仿宋_GB2312"/>
          <w:b/>
          <w:sz w:val="32"/>
          <w:szCs w:val="32"/>
          <w:lang w:val="en-US" w:eastAsia="zh-CN"/>
        </w:rPr>
        <w:t>五</w:t>
      </w:r>
      <w:r>
        <w:rPr>
          <w:rFonts w:ascii="仿宋_GB2312" w:eastAsia="仿宋_GB2312"/>
          <w:b/>
          <w:sz w:val="32"/>
          <w:szCs w:val="32"/>
        </w:rPr>
        <w:t>部分</w:t>
      </w:r>
      <w:r>
        <w:rPr>
          <w:rFonts w:hint="eastAsia" w:ascii="仿宋_GB2312" w:eastAsia="仿宋_GB2312"/>
          <w:b/>
          <w:sz w:val="32"/>
          <w:szCs w:val="32"/>
          <w:lang w:val="en-US" w:eastAsia="zh-CN"/>
        </w:rPr>
        <w:t xml:space="preserve"> 项目绩效自评表</w:t>
      </w:r>
      <w:r>
        <w:rPr>
          <w:rFonts w:ascii="仿宋_GB2312" w:eastAsia="仿宋_GB2312"/>
          <w:b/>
          <w:sz w:val="32"/>
          <w:szCs w:val="32"/>
        </w:rPr>
        <w:t>（见附</w:t>
      </w:r>
      <w:r>
        <w:rPr>
          <w:rFonts w:hint="eastAsia" w:ascii="仿宋_GB2312" w:eastAsia="仿宋_GB2312"/>
          <w:b/>
          <w:sz w:val="32"/>
          <w:szCs w:val="32"/>
          <w:lang w:val="en-US" w:eastAsia="zh-CN"/>
        </w:rPr>
        <w:t>件2</w:t>
      </w:r>
      <w:r>
        <w:rPr>
          <w:rFonts w:ascii="仿宋_GB2312" w:eastAsia="仿宋_GB2312"/>
          <w:b/>
          <w:sz w:val="32"/>
          <w:szCs w:val="32"/>
        </w:rPr>
        <w:t>）</w:t>
      </w:r>
    </w:p>
    <w:p>
      <w:pPr>
        <w:keepNext w:val="0"/>
        <w:keepLines w:val="0"/>
        <w:pageBreakBefore w:val="0"/>
        <w:widowControl/>
        <w:shd w:val="clear"/>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w:t>
      </w:r>
      <w:r>
        <w:rPr>
          <w:rFonts w:hint="eastAsia" w:ascii="仿宋_GB2312" w:eastAsia="仿宋_GB2312"/>
          <w:b/>
          <w:sz w:val="32"/>
          <w:szCs w:val="32"/>
          <w:lang w:val="en-US" w:eastAsia="zh-CN"/>
        </w:rPr>
        <w:t>六</w:t>
      </w:r>
      <w:r>
        <w:rPr>
          <w:rFonts w:ascii="仿宋_GB2312" w:eastAsia="仿宋_GB2312"/>
          <w:b/>
          <w:sz w:val="32"/>
          <w:szCs w:val="32"/>
        </w:rPr>
        <w:t>部分</w:t>
      </w:r>
      <w:r>
        <w:rPr>
          <w:rFonts w:hint="eastAsia" w:ascii="仿宋_GB2312" w:eastAsia="仿宋_GB2312"/>
          <w:b/>
          <w:sz w:val="32"/>
          <w:szCs w:val="32"/>
          <w:lang w:val="en-US" w:eastAsia="zh-CN"/>
        </w:rPr>
        <w:t xml:space="preserve"> 项目绩效自评报告</w:t>
      </w:r>
      <w:r>
        <w:rPr>
          <w:rFonts w:ascii="仿宋_GB2312" w:eastAsia="仿宋_GB2312"/>
          <w:b/>
          <w:sz w:val="32"/>
          <w:szCs w:val="32"/>
        </w:rPr>
        <w:t>（见附</w:t>
      </w:r>
      <w:r>
        <w:rPr>
          <w:rFonts w:hint="eastAsia" w:ascii="仿宋_GB2312" w:eastAsia="仿宋_GB2312"/>
          <w:b/>
          <w:sz w:val="32"/>
          <w:szCs w:val="32"/>
          <w:lang w:val="en-US" w:eastAsia="zh-CN"/>
        </w:rPr>
        <w:t>件3</w:t>
      </w:r>
      <w:r>
        <w:rPr>
          <w:rFonts w:ascii="仿宋_GB2312" w:eastAsia="仿宋_GB2312"/>
          <w:b/>
          <w:sz w:val="32"/>
          <w:szCs w:val="32"/>
        </w:rPr>
        <w:t>）</w:t>
      </w:r>
    </w:p>
    <w:p>
      <w:pPr>
        <w:shd w:val="clear"/>
      </w:pPr>
    </w:p>
    <w:p>
      <w:pPr>
        <w:keepNext w:val="0"/>
        <w:keepLines w:val="0"/>
        <w:pageBreakBefore w:val="0"/>
        <w:shd w:val="clear"/>
        <w:kinsoku/>
        <w:overflowPunct/>
        <w:topLinePunct w:val="0"/>
        <w:bidi w:val="0"/>
        <w:adjustRightInd/>
        <w:snapToGrid/>
        <w:spacing w:line="560" w:lineRule="exact"/>
        <w:jc w:val="center"/>
        <w:textAlignment w:val="auto"/>
        <w:outlineLvl w:val="0"/>
        <w:rPr>
          <w:rFonts w:ascii="黑体" w:hAnsi="黑体" w:eastAsia="黑体"/>
          <w:sz w:val="32"/>
          <w:szCs w:val="32"/>
        </w:rPr>
      </w:pPr>
      <w:r>
        <w:rPr>
          <w:rFonts w:hint="eastAsia" w:ascii="仿宋_GB2312" w:hAnsi="仿宋_GB2312" w:eastAsia="仿宋_GB2312" w:cs="仿宋_GB2312"/>
          <w:sz w:val="32"/>
          <w:szCs w:val="32"/>
        </w:rPr>
        <w:fldChar w:fldCharType="end"/>
      </w:r>
      <w:r>
        <w:rPr>
          <w:rFonts w:hint="eastAsia" w:ascii="仿宋_GB2312" w:eastAsia="仿宋_GB2312"/>
          <w:sz w:val="32"/>
          <w:szCs w:val="32"/>
        </w:rPr>
        <w:br w:type="page"/>
      </w:r>
      <w:bookmarkStart w:id="0" w:name="_Toc24028"/>
      <w:bookmarkStart w:id="1" w:name="_Toc31918"/>
      <w:r>
        <w:rPr>
          <w:rFonts w:hint="eastAsia" w:ascii="黑体" w:hAnsi="黑体" w:eastAsia="黑体"/>
          <w:sz w:val="32"/>
          <w:szCs w:val="32"/>
        </w:rPr>
        <w:t>第一部分 单位概况</w:t>
      </w:r>
      <w:bookmarkEnd w:id="0"/>
      <w:bookmarkEnd w:id="1"/>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2" w:name="_Toc30738"/>
      <w:bookmarkStart w:id="3" w:name="_Toc2898"/>
      <w:r>
        <w:rPr>
          <w:rFonts w:hint="eastAsia" w:ascii="黑体" w:hAnsi="黑体" w:eastAsia="黑体" w:cs="宋体"/>
          <w:bCs/>
          <w:kern w:val="0"/>
          <w:sz w:val="32"/>
          <w:szCs w:val="32"/>
        </w:rPr>
        <w:t>一、主要职能</w:t>
      </w:r>
      <w:bookmarkEnd w:id="2"/>
      <w:bookmarkEnd w:id="3"/>
    </w:p>
    <w:p>
      <w:pPr>
        <w:keepNext w:val="0"/>
        <w:keepLines w:val="0"/>
        <w:pageBreakBefore w:val="0"/>
        <w:shd w:val="clear"/>
        <w:kinsoku/>
        <w:overflowPunct/>
        <w:topLinePunct w:val="0"/>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新疆维吾尔自治区图书馆承担全疆的文献信息保障、地方文献信息收藏、古籍保护利用职能，开展相关学术研究、业务指导和培训、行业协作协调、对外交流与合作、科技运用与信息化推广，推动全民阅读。是新疆维吾尔自治区滋养民族心灵、培育文化自信的重要场所。</w:t>
      </w:r>
    </w:p>
    <w:p>
      <w:pPr>
        <w:keepNext w:val="0"/>
        <w:keepLines w:val="0"/>
        <w:pageBreakBefore w:val="0"/>
        <w:shd w:val="clear"/>
        <w:kinsoku/>
        <w:overflowPunct/>
        <w:topLinePunct w:val="0"/>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新疆维吾尔自治区图书馆始终将推动、引导、服务全民阅读作为重要任务，不断丰富阅读活动内容，积极倡导多样化与多元化。先后培育“昆仑讲坛”“尚书品读”“讲好新疆故事”“昆仑尼山书院”“悦读欢乐豆”“知书达礼”等全民阅读活动品牌，举办主题论坛、学者讲座、领读活动、读者征文、主题演讲、知识竞赛、诗词赏析、国学普及、经典诵读、展览展示、亲子文化体验等活动，吸引广大群众走进图书馆、利用图书馆、爱上图书馆，带领广大群众在“悦”读中汲取精神食粮、积蓄文化底蕴。</w:t>
      </w:r>
    </w:p>
    <w:p>
      <w:pPr>
        <w:keepNext w:val="0"/>
        <w:keepLines w:val="0"/>
        <w:pageBreakBefore w:val="0"/>
        <w:shd w:val="clear"/>
        <w:kinsoku/>
        <w:overflowPunct/>
        <w:topLinePunct w:val="0"/>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新疆维吾尔自治区图书馆坚持以习近平新时代中国特色社会主义思想为引领，全面准确贯彻落实党中央治疆方略，深入贯彻落实《中华人民共和国公共图书馆法》《中华人民共和国公共文化服务保障法》《新疆维吾尔自治区公共图书馆条例》，以“滋养民族心灵、培育文化自信”为己任，秉持开放、智慧、包容、共享的现代图书馆发展理念，坚持文化发展为了人民，统一思想，凝聚力量，科学谋划，高质量落实各项工作任务，不断规范、提升图书馆运行、服务、管理和保障工作，深入实施“文化润疆”工程，铸牢中华民族共同体意识，促进满足人民文化需求和增强人民精神力量相统一，让人民享有更加充实、更为丰富、更高质量的精神文化生活。</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4" w:name="_Toc31238"/>
      <w:bookmarkStart w:id="5" w:name="_Toc1387"/>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keepNext w:val="0"/>
        <w:keepLines w:val="0"/>
        <w:pageBreakBefore w:val="0"/>
        <w:shd w:val="clear"/>
        <w:kinsoku/>
        <w:overflowPunct/>
        <w:topLinePunct w:val="0"/>
        <w:bidi w:val="0"/>
        <w:adjustRightInd/>
        <w:snapToGrid/>
        <w:spacing w:line="560" w:lineRule="exact"/>
        <w:ind w:firstLine="640" w:firstLineChars="200"/>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新疆维吾尔自治区图书馆（新疆维吾尔自治区古籍保护中心）2024年度，实有人数140人，其中：在职人员83人，减少4人；离休人员0人，增加</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人；退休人员57人，增加3人。</w:t>
      </w:r>
    </w:p>
    <w:p>
      <w:pPr>
        <w:keepNext w:val="0"/>
        <w:keepLines w:val="0"/>
        <w:pageBreakBefore w:val="0"/>
        <w:shd w:val="clear"/>
        <w:kinsoku/>
        <w:overflowPunct/>
        <w:topLinePunct w:val="0"/>
        <w:bidi w:val="0"/>
        <w:adjustRightInd/>
        <w:snapToGrid/>
        <w:spacing w:line="560" w:lineRule="exact"/>
        <w:ind w:firstLine="703"/>
        <w:textAlignment w:val="auto"/>
        <w:rPr>
          <w:rFonts w:ascii="仿宋_GB2312"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Times New Roman" w:eastAsia="仿宋_GB2312" w:cs="Times New Roman"/>
          <w:sz w:val="32"/>
          <w:szCs w:val="32"/>
        </w:rPr>
        <w:t>新疆维吾尔自治区图书馆（新疆维吾尔自治区古籍保护中心）</w:t>
      </w:r>
      <w:r>
        <w:rPr>
          <w:rFonts w:hint="eastAsia" w:ascii="仿宋_GB2312" w:eastAsia="仿宋_GB2312"/>
          <w:sz w:val="32"/>
          <w:szCs w:val="32"/>
        </w:rPr>
        <w:t>无下属预算单位，下设11个</w:t>
      </w:r>
      <w:r>
        <w:rPr>
          <w:rFonts w:hint="eastAsia" w:ascii="仿宋_GB2312" w:eastAsia="仿宋_GB2312"/>
          <w:sz w:val="32"/>
          <w:szCs w:val="32"/>
          <w:lang w:val="en-US" w:eastAsia="zh-CN"/>
        </w:rPr>
        <w:t>科</w:t>
      </w:r>
      <w:r>
        <w:rPr>
          <w:rFonts w:hint="eastAsia" w:ascii="仿宋_GB2312" w:eastAsia="仿宋_GB2312"/>
          <w:sz w:val="32"/>
          <w:szCs w:val="32"/>
        </w:rPr>
        <w:t>室，分别是：办公室、后勤管理部、读者服务部、信息技术部、少儿部、特藏文献部、报刊部、参考咨询部、研究辅导部、采访编目部、阅读推广部。</w:t>
      </w:r>
    </w:p>
    <w:p>
      <w:pPr>
        <w:keepNext w:val="0"/>
        <w:keepLines w:val="0"/>
        <w:pageBreakBefore w:val="0"/>
        <w:shd w:val="clear"/>
        <w:kinsoku/>
        <w:overflowPunct/>
        <w:topLinePunct w:val="0"/>
        <w:bidi w:val="0"/>
        <w:adjustRightInd/>
        <w:snapToGrid/>
        <w:spacing w:line="560" w:lineRule="exact"/>
        <w:jc w:val="center"/>
        <w:textAlignment w:val="auto"/>
        <w:outlineLvl w:val="0"/>
        <w:rPr>
          <w:rFonts w:ascii="黑体" w:hAnsi="黑体" w:eastAsia="黑体"/>
          <w:sz w:val="32"/>
          <w:szCs w:val="32"/>
        </w:rPr>
      </w:pPr>
      <w:bookmarkStart w:id="6" w:name="_Toc3092"/>
      <w:bookmarkStart w:id="7" w:name="_Toc7559"/>
      <w:r>
        <w:rPr>
          <w:rFonts w:hint="eastAsia" w:ascii="黑体" w:hAnsi="黑体" w:eastAsia="黑体"/>
          <w:sz w:val="32"/>
          <w:szCs w:val="32"/>
        </w:rPr>
        <w:t>第二部分 部门决算情况说明</w:t>
      </w:r>
      <w:bookmarkEnd w:id="6"/>
      <w:bookmarkEnd w:id="7"/>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8" w:name="_Toc12566"/>
      <w:bookmarkStart w:id="9" w:name="_Toc6321"/>
      <w:r>
        <w:rPr>
          <w:rFonts w:hint="eastAsia" w:ascii="黑体" w:hAnsi="黑体" w:eastAsia="黑体" w:cs="宋体"/>
          <w:bCs/>
          <w:kern w:val="0"/>
          <w:sz w:val="32"/>
          <w:szCs w:val="32"/>
        </w:rPr>
        <w:t>一、收入支出决算总体情况说明</w:t>
      </w:r>
      <w:bookmarkEnd w:id="8"/>
      <w:bookmarkEnd w:id="9"/>
    </w:p>
    <w:p>
      <w:pPr>
        <w:keepNext w:val="0"/>
        <w:keepLines w:val="0"/>
        <w:pageBreakBefore w:val="0"/>
        <w:shd w:val="clear"/>
        <w:kinsoku/>
        <w:overflowPunct/>
        <w:topLinePunct w:val="0"/>
        <w:bidi w:val="0"/>
        <w:adjustRightInd/>
        <w:snapToGrid/>
        <w:spacing w:line="560" w:lineRule="exact"/>
        <w:ind w:firstLine="642" w:firstLineChars="200"/>
        <w:jc w:val="left"/>
        <w:textAlignment w:val="auto"/>
        <w:rPr>
          <w:rFonts w:ascii="仿宋_GB2312" w:eastAsia="仿宋_GB2312"/>
          <w:sz w:val="32"/>
          <w:szCs w:val="32"/>
        </w:rPr>
      </w:pPr>
      <w:r>
        <w:rPr>
          <w:rFonts w:hint="eastAsia" w:ascii="仿宋_GB2312" w:eastAsia="仿宋_GB2312"/>
          <w:b/>
          <w:bCs/>
          <w:sz w:val="32"/>
          <w:szCs w:val="32"/>
        </w:rPr>
        <w:t>2024年度收入总计6,273.58万元，</w:t>
      </w:r>
      <w:r>
        <w:rPr>
          <w:rFonts w:hint="eastAsia" w:ascii="仿宋_GB2312" w:eastAsia="仿宋_GB2312"/>
          <w:sz w:val="32"/>
          <w:szCs w:val="32"/>
        </w:rPr>
        <w:t>其中：本年收入合计6,168.1万元，使用非财政拨款结余（含专用结余）0万元，年初结转和结余105.48万元。</w:t>
      </w:r>
    </w:p>
    <w:p>
      <w:pPr>
        <w:keepNext w:val="0"/>
        <w:keepLines w:val="0"/>
        <w:pageBreakBefore w:val="0"/>
        <w:shd w:val="clear"/>
        <w:kinsoku/>
        <w:overflowPunct/>
        <w:topLinePunct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2024年度支出总计6,273.58万元，</w:t>
      </w:r>
      <w:r>
        <w:rPr>
          <w:rFonts w:hint="eastAsia" w:ascii="仿宋_GB2312" w:eastAsia="仿宋_GB2312"/>
          <w:sz w:val="32"/>
          <w:szCs w:val="32"/>
        </w:rPr>
        <w:t>其中：本年支出合计6,188.02万元，结余分配0万元，年末结转和结余85.55万元。</w:t>
      </w:r>
    </w:p>
    <w:p>
      <w:pPr>
        <w:keepNext w:val="0"/>
        <w:keepLines w:val="0"/>
        <w:pageBreakBefore w:val="0"/>
        <w:shd w:val="clear"/>
        <w:kinsoku/>
        <w:overflowPunct/>
        <w:topLinePunct w:val="0"/>
        <w:bidi w:val="0"/>
        <w:adjustRightInd/>
        <w:snapToGrid/>
        <w:spacing w:line="560" w:lineRule="exact"/>
        <w:ind w:firstLine="642" w:firstLineChars="200"/>
        <w:textAlignment w:val="auto"/>
        <w:rPr>
          <w:rFonts w:hint="eastAsia"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rPr>
        <w:t>增加1,100.15万元，增长21.27%，主要原因是：</w:t>
      </w:r>
      <w:r>
        <w:rPr>
          <w:rFonts w:hint="eastAsia" w:ascii="仿宋_GB2312" w:eastAsia="仿宋_GB2312"/>
          <w:sz w:val="32"/>
          <w:szCs w:val="32"/>
          <w:lang w:val="en-US" w:eastAsia="zh-CN"/>
        </w:rPr>
        <w:t>一是</w:t>
      </w:r>
      <w:r>
        <w:rPr>
          <w:rFonts w:hint="eastAsia" w:ascii="仿宋_GB2312" w:eastAsia="仿宋_GB2312"/>
          <w:sz w:val="32"/>
          <w:szCs w:val="32"/>
        </w:rPr>
        <w:t>本年人员经费工资调增；</w:t>
      </w:r>
      <w:r>
        <w:rPr>
          <w:rFonts w:hint="eastAsia" w:ascii="仿宋_GB2312" w:eastAsia="仿宋_GB2312"/>
          <w:sz w:val="32"/>
          <w:szCs w:val="32"/>
          <w:lang w:val="en-US" w:eastAsia="zh-CN"/>
        </w:rPr>
        <w:t>二是</w:t>
      </w:r>
      <w:r>
        <w:rPr>
          <w:rFonts w:hint="eastAsia" w:ascii="仿宋_GB2312" w:eastAsia="仿宋_GB2312"/>
          <w:sz w:val="32"/>
          <w:szCs w:val="32"/>
        </w:rPr>
        <w:t>本年新增了中央专项资金；</w:t>
      </w:r>
      <w:r>
        <w:rPr>
          <w:rFonts w:hint="eastAsia" w:ascii="仿宋_GB2312" w:eastAsia="仿宋_GB2312"/>
          <w:sz w:val="32"/>
          <w:szCs w:val="32"/>
          <w:lang w:val="en-US" w:eastAsia="zh-CN"/>
        </w:rPr>
        <w:t>三是年中</w:t>
      </w:r>
      <w:r>
        <w:rPr>
          <w:rFonts w:hint="eastAsia" w:ascii="仿宋_GB2312" w:eastAsia="仿宋_GB2312"/>
          <w:sz w:val="32"/>
          <w:szCs w:val="32"/>
        </w:rPr>
        <w:t>追加2024年自治区旅游发展专项资金；</w:t>
      </w:r>
      <w:r>
        <w:rPr>
          <w:rFonts w:hint="eastAsia" w:ascii="仿宋_GB2312" w:eastAsia="仿宋_GB2312"/>
          <w:sz w:val="32"/>
          <w:szCs w:val="32"/>
          <w:lang w:val="en-US" w:eastAsia="zh-CN"/>
        </w:rPr>
        <w:t>四是</w:t>
      </w:r>
      <w:r>
        <w:rPr>
          <w:rFonts w:hint="eastAsia" w:ascii="仿宋_GB2312" w:eastAsia="仿宋_GB2312"/>
          <w:sz w:val="32"/>
          <w:szCs w:val="32"/>
        </w:rPr>
        <w:t>追加了自治区彩票公益金支持文化和旅游志愿服务项目。</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10" w:name="_Toc1979"/>
      <w:bookmarkStart w:id="11" w:name="_Toc6311"/>
      <w:r>
        <w:rPr>
          <w:rFonts w:hint="eastAsia" w:ascii="黑体" w:hAnsi="黑体" w:eastAsia="黑体" w:cs="宋体"/>
          <w:bCs/>
          <w:kern w:val="0"/>
          <w:sz w:val="32"/>
          <w:szCs w:val="32"/>
        </w:rPr>
        <w:t>二、收入决算情况说明</w:t>
      </w:r>
      <w:bookmarkEnd w:id="10"/>
      <w:bookmarkEnd w:id="11"/>
    </w:p>
    <w:p>
      <w:pPr>
        <w:keepNext w:val="0"/>
        <w:keepLines w:val="0"/>
        <w:pageBreakBefore w:val="0"/>
        <w:shd w:val="clear"/>
        <w:kinsoku/>
        <w:overflowPunct/>
        <w:topLinePunct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本年收入6,168.1万元，</w:t>
      </w:r>
      <w:r>
        <w:rPr>
          <w:rFonts w:hint="eastAsia" w:ascii="仿宋_GB2312" w:eastAsia="仿宋_GB2312"/>
          <w:sz w:val="32"/>
          <w:szCs w:val="32"/>
        </w:rPr>
        <w:t>其中：财政拨款收入6,045.91万元，占98.02%；上级补助收入0万元，占0%；事业收入3.5万元，占0.06%；经营收入0万元，占0%；附属单位上缴收入0万元，占0%；其他收入118.68万元，占1.92%。</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12" w:name="_Toc20629"/>
      <w:bookmarkStart w:id="13" w:name="_Toc27961"/>
      <w:r>
        <w:rPr>
          <w:rFonts w:hint="eastAsia" w:ascii="黑体" w:hAnsi="黑体" w:eastAsia="黑体" w:cs="宋体"/>
          <w:bCs/>
          <w:kern w:val="0"/>
          <w:sz w:val="32"/>
          <w:szCs w:val="32"/>
        </w:rPr>
        <w:t>三、支出决算情况说明</w:t>
      </w:r>
      <w:bookmarkEnd w:id="12"/>
      <w:bookmarkEnd w:id="13"/>
    </w:p>
    <w:p>
      <w:pPr>
        <w:keepNext w:val="0"/>
        <w:keepLines w:val="0"/>
        <w:pageBreakBefore w:val="0"/>
        <w:shd w:val="clear"/>
        <w:kinsoku/>
        <w:overflowPunct/>
        <w:topLinePunct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本年支出6,188.02万元，</w:t>
      </w:r>
      <w:r>
        <w:rPr>
          <w:rFonts w:hint="eastAsia" w:ascii="仿宋_GB2312" w:eastAsia="仿宋_GB2312"/>
          <w:sz w:val="32"/>
          <w:szCs w:val="32"/>
        </w:rPr>
        <w:t>其中：基本支出2,713.99万元，占43.86%；项目支出3,474.04万元，占56.14%；上缴上级支出0万元，占0%；经营支出0万元，占0%；对附属单位补助支出0万元，占0%。</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14" w:name="_Toc7371"/>
      <w:bookmarkStart w:id="15" w:name="_Toc4393"/>
      <w:r>
        <w:rPr>
          <w:rFonts w:hint="eastAsia" w:ascii="黑体" w:hAnsi="黑体" w:eastAsia="黑体" w:cs="宋体"/>
          <w:bCs/>
          <w:kern w:val="0"/>
          <w:sz w:val="32"/>
          <w:szCs w:val="32"/>
        </w:rPr>
        <w:t>四、财政拨款收入支出决算总体情况说明</w:t>
      </w:r>
      <w:bookmarkEnd w:id="14"/>
      <w:bookmarkEnd w:id="15"/>
    </w:p>
    <w:p>
      <w:pPr>
        <w:keepNext w:val="0"/>
        <w:keepLines w:val="0"/>
        <w:pageBreakBefore w:val="0"/>
        <w:shd w:val="clear"/>
        <w:kinsoku/>
        <w:overflowPunct/>
        <w:topLinePunct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2024年度财政拨款收入总计6,045.91万元，</w:t>
      </w:r>
      <w:r>
        <w:rPr>
          <w:rFonts w:hint="eastAsia" w:ascii="仿宋_GB2312" w:eastAsia="仿宋_GB2312"/>
          <w:sz w:val="32"/>
          <w:szCs w:val="32"/>
        </w:rPr>
        <w:t>其中：年初财政拨款结转和结余0万元，本年财政拨款收入6,045.91万元。</w:t>
      </w:r>
      <w:r>
        <w:rPr>
          <w:rFonts w:hint="eastAsia" w:ascii="仿宋_GB2312" w:eastAsia="仿宋_GB2312"/>
          <w:b/>
          <w:bCs/>
          <w:sz w:val="32"/>
          <w:szCs w:val="32"/>
        </w:rPr>
        <w:t>财政拨款支出总计6,045.91万元，</w:t>
      </w:r>
      <w:r>
        <w:rPr>
          <w:rFonts w:hint="eastAsia" w:ascii="仿宋_GB2312" w:eastAsia="仿宋_GB2312"/>
          <w:sz w:val="32"/>
          <w:szCs w:val="32"/>
        </w:rPr>
        <w:t>其中：年末财政拨款结转和结余0万元，本年财政拨款支出6,045.91万元。</w:t>
      </w:r>
    </w:p>
    <w:p>
      <w:pPr>
        <w:keepNext w:val="0"/>
        <w:keepLines w:val="0"/>
        <w:pageBreakBefore w:val="0"/>
        <w:shd w:val="clear"/>
        <w:kinsoku/>
        <w:overflowPunct/>
        <w:topLinePunct w:val="0"/>
        <w:bidi w:val="0"/>
        <w:adjustRightInd/>
        <w:snapToGrid/>
        <w:spacing w:line="560" w:lineRule="exact"/>
        <w:ind w:firstLine="642" w:firstLineChars="200"/>
        <w:textAlignment w:val="auto"/>
        <w:rPr>
          <w:rFonts w:hint="eastAsia"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rPr>
        <w:t>增加987.99万元，增长19.53%，主要原因是：年中追加中央专项资金、自治区旅游发展专项资金、自治区彩票公益金支持文化和旅游志愿服务项目，人员经费工资调增。</w:t>
      </w:r>
      <w:r>
        <w:rPr>
          <w:rFonts w:hint="eastAsia" w:ascii="仿宋_GB2312" w:eastAsia="仿宋_GB2312"/>
          <w:b/>
          <w:bCs/>
          <w:sz w:val="32"/>
          <w:szCs w:val="32"/>
        </w:rPr>
        <w:t>与年初预算相比，</w:t>
      </w:r>
      <w:r>
        <w:rPr>
          <w:rFonts w:hint="eastAsia" w:ascii="仿宋_GB2312" w:eastAsia="仿宋_GB2312"/>
          <w:sz w:val="32"/>
          <w:szCs w:val="32"/>
        </w:rPr>
        <w:t>年初预算数4,870.4万元，决算数6,045.91万元，预决算差异率24.14%，主要原因是：</w:t>
      </w:r>
      <w:r>
        <w:rPr>
          <w:rFonts w:hint="eastAsia" w:ascii="仿宋_GB2312" w:eastAsia="仿宋_GB2312"/>
          <w:sz w:val="32"/>
          <w:szCs w:val="32"/>
          <w:lang w:val="en-US" w:eastAsia="zh-CN"/>
        </w:rPr>
        <w:t>一是</w:t>
      </w:r>
      <w:r>
        <w:rPr>
          <w:rFonts w:hint="eastAsia" w:ascii="仿宋_GB2312" w:eastAsia="仿宋_GB2312"/>
          <w:sz w:val="32"/>
          <w:szCs w:val="32"/>
        </w:rPr>
        <w:t>本年人员经费工资</w:t>
      </w:r>
      <w:r>
        <w:rPr>
          <w:rFonts w:hint="eastAsia" w:ascii="仿宋_GB2312" w:eastAsia="仿宋_GB2312"/>
          <w:sz w:val="32"/>
          <w:szCs w:val="32"/>
          <w:lang w:val="en-US" w:eastAsia="zh-CN"/>
        </w:rPr>
        <w:t>调增</w:t>
      </w:r>
      <w:r>
        <w:rPr>
          <w:rFonts w:hint="eastAsia" w:ascii="仿宋_GB2312" w:eastAsia="仿宋_GB2312"/>
          <w:sz w:val="32"/>
          <w:szCs w:val="32"/>
        </w:rPr>
        <w:t>；</w:t>
      </w:r>
      <w:r>
        <w:rPr>
          <w:rFonts w:hint="eastAsia" w:ascii="仿宋_GB2312" w:eastAsia="仿宋_GB2312"/>
          <w:sz w:val="32"/>
          <w:szCs w:val="32"/>
          <w:lang w:val="en-US" w:eastAsia="zh-CN"/>
        </w:rPr>
        <w:t>二是年中</w:t>
      </w:r>
      <w:r>
        <w:rPr>
          <w:rFonts w:hint="eastAsia" w:ascii="仿宋_GB2312" w:eastAsia="仿宋_GB2312"/>
          <w:sz w:val="32"/>
          <w:szCs w:val="32"/>
        </w:rPr>
        <w:t>追加2024年自治区旅游发展专项资金</w:t>
      </w:r>
      <w:r>
        <w:rPr>
          <w:rFonts w:hint="eastAsia" w:ascii="仿宋_GB2312" w:eastAsia="仿宋_GB2312"/>
          <w:sz w:val="32"/>
          <w:szCs w:val="32"/>
          <w:lang w:eastAsia="zh-CN"/>
        </w:rPr>
        <w:t>；</w:t>
      </w:r>
      <w:r>
        <w:rPr>
          <w:rFonts w:hint="eastAsia" w:ascii="仿宋_GB2312" w:eastAsia="仿宋_GB2312"/>
          <w:sz w:val="32"/>
          <w:szCs w:val="32"/>
          <w:lang w:val="en-US" w:eastAsia="zh-CN"/>
        </w:rPr>
        <w:t>三是</w:t>
      </w:r>
      <w:r>
        <w:rPr>
          <w:rFonts w:hint="eastAsia" w:ascii="仿宋_GB2312" w:eastAsia="仿宋_GB2312"/>
          <w:sz w:val="32"/>
          <w:szCs w:val="32"/>
        </w:rPr>
        <w:t>追加了自治区彩票公益金支持文化和旅游志愿服务项目</w:t>
      </w:r>
      <w:r>
        <w:rPr>
          <w:rFonts w:hint="eastAsia" w:ascii="仿宋_GB2312" w:eastAsia="仿宋_GB2312"/>
          <w:sz w:val="32"/>
          <w:szCs w:val="32"/>
          <w:lang w:val="en-US" w:eastAsia="zh-CN"/>
        </w:rPr>
        <w:t>资金</w:t>
      </w:r>
      <w:r>
        <w:rPr>
          <w:rFonts w:hint="eastAsia" w:ascii="仿宋_GB2312" w:eastAsia="仿宋_GB2312"/>
          <w:sz w:val="32"/>
          <w:szCs w:val="32"/>
        </w:rPr>
        <w:t>。</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16" w:name="_Toc13833"/>
      <w:bookmarkStart w:id="17" w:name="_Toc18905"/>
      <w:r>
        <w:rPr>
          <w:rFonts w:hint="eastAsia" w:ascii="黑体" w:hAnsi="黑体" w:eastAsia="黑体" w:cs="宋体"/>
          <w:bCs/>
          <w:kern w:val="0"/>
          <w:sz w:val="32"/>
          <w:szCs w:val="32"/>
        </w:rPr>
        <w:t>五、一般公共预算财政拨款支出决算情况说明</w:t>
      </w:r>
      <w:bookmarkEnd w:id="16"/>
      <w:bookmarkEnd w:id="17"/>
    </w:p>
    <w:p>
      <w:pPr>
        <w:keepNext w:val="0"/>
        <w:keepLines w:val="0"/>
        <w:pageBreakBefore w:val="0"/>
        <w:shd w:val="clear"/>
        <w:kinsoku/>
        <w:overflowPunct/>
        <w:topLinePunct w:val="0"/>
        <w:bidi w:val="0"/>
        <w:adjustRightInd/>
        <w:snapToGrid/>
        <w:spacing w:line="560" w:lineRule="exact"/>
        <w:ind w:firstLine="640" w:firstLineChars="200"/>
        <w:textAlignment w:val="auto"/>
        <w:outlineLvl w:val="2"/>
        <w:rPr>
          <w:rFonts w:ascii="黑体" w:hAnsi="黑体" w:eastAsia="黑体"/>
          <w:sz w:val="32"/>
          <w:szCs w:val="32"/>
        </w:rPr>
      </w:pPr>
      <w:bookmarkStart w:id="18" w:name="_Toc1165"/>
      <w:r>
        <w:rPr>
          <w:rFonts w:hint="eastAsia" w:ascii="黑体" w:hAnsi="黑体" w:eastAsia="黑体"/>
          <w:sz w:val="32"/>
          <w:szCs w:val="32"/>
        </w:rPr>
        <w:t>（一）一般公共预算财政拨款支出决算总体情况</w:t>
      </w:r>
      <w:bookmarkEnd w:id="18"/>
    </w:p>
    <w:p>
      <w:pPr>
        <w:keepNext w:val="0"/>
        <w:keepLines w:val="0"/>
        <w:pageBreakBefore w:val="0"/>
        <w:shd w:val="clear"/>
        <w:kinsoku/>
        <w:overflowPunct/>
        <w:topLinePunct w:val="0"/>
        <w:bidi w:val="0"/>
        <w:adjustRightInd/>
        <w:snapToGrid/>
        <w:spacing w:line="560" w:lineRule="exact"/>
        <w:ind w:firstLine="642" w:firstLineChars="200"/>
        <w:textAlignment w:val="auto"/>
        <w:rPr>
          <w:rFonts w:hint="eastAsia" w:ascii="仿宋_GB2312" w:eastAsia="仿宋_GB2312"/>
          <w:sz w:val="32"/>
          <w:szCs w:val="32"/>
        </w:rPr>
      </w:pPr>
      <w:r>
        <w:rPr>
          <w:rFonts w:hint="eastAsia" w:ascii="仿宋_GB2312" w:eastAsia="仿宋_GB2312"/>
          <w:b/>
          <w:bCs/>
          <w:sz w:val="32"/>
          <w:szCs w:val="32"/>
        </w:rPr>
        <w:t>2024年度一般公共预算财政拨款支出5,062.98万元，</w:t>
      </w:r>
      <w:r>
        <w:rPr>
          <w:rFonts w:hint="eastAsia" w:ascii="仿宋_GB2312" w:eastAsia="仿宋_GB2312"/>
          <w:sz w:val="32"/>
          <w:szCs w:val="32"/>
        </w:rPr>
        <w:t>占本年支出合计的81.82%。</w:t>
      </w:r>
      <w:r>
        <w:rPr>
          <w:rFonts w:hint="eastAsia" w:ascii="仿宋_GB2312" w:eastAsia="仿宋_GB2312"/>
          <w:b/>
          <w:bCs/>
          <w:sz w:val="32"/>
          <w:szCs w:val="32"/>
        </w:rPr>
        <w:t>与上年相比，</w:t>
      </w:r>
      <w:r>
        <w:rPr>
          <w:rFonts w:hint="eastAsia" w:ascii="仿宋_GB2312" w:eastAsia="仿宋_GB2312"/>
          <w:sz w:val="32"/>
          <w:szCs w:val="32"/>
        </w:rPr>
        <w:t>增加814.62万元，增长19.17%，主要原因是：</w:t>
      </w:r>
      <w:r>
        <w:rPr>
          <w:rFonts w:hint="eastAsia" w:ascii="仿宋_GB2312" w:eastAsia="仿宋_GB2312"/>
          <w:sz w:val="32"/>
          <w:szCs w:val="32"/>
          <w:lang w:val="en-US" w:eastAsia="zh-CN"/>
        </w:rPr>
        <w:t>一是</w:t>
      </w:r>
      <w:r>
        <w:rPr>
          <w:rFonts w:hint="eastAsia" w:ascii="仿宋_GB2312" w:eastAsia="仿宋_GB2312"/>
          <w:sz w:val="32"/>
          <w:szCs w:val="32"/>
        </w:rPr>
        <w:t>人员经费工资调</w:t>
      </w:r>
      <w:r>
        <w:rPr>
          <w:rFonts w:hint="eastAsia" w:ascii="仿宋_GB2312" w:eastAsia="仿宋_GB2312"/>
          <w:sz w:val="32"/>
          <w:szCs w:val="32"/>
          <w:lang w:val="en-US" w:eastAsia="zh-CN"/>
        </w:rPr>
        <w:t>增；二是年中追加</w:t>
      </w:r>
      <w:r>
        <w:rPr>
          <w:rFonts w:hint="eastAsia" w:ascii="仿宋_GB2312" w:eastAsia="仿宋_GB2312"/>
          <w:sz w:val="32"/>
          <w:szCs w:val="32"/>
        </w:rPr>
        <w:t>自治区旅游发展专项资金、自治区彩票公益金支持文化和旅游志愿服务</w:t>
      </w:r>
      <w:r>
        <w:rPr>
          <w:rFonts w:hint="eastAsia" w:ascii="仿宋_GB2312" w:eastAsia="仿宋_GB2312"/>
          <w:sz w:val="32"/>
          <w:szCs w:val="32"/>
          <w:lang w:val="en-US" w:eastAsia="zh-CN"/>
        </w:rPr>
        <w:t>等项目资金</w:t>
      </w:r>
      <w:r>
        <w:rPr>
          <w:rFonts w:hint="eastAsia" w:ascii="仿宋_GB2312" w:eastAsia="仿宋_GB2312"/>
          <w:sz w:val="32"/>
          <w:szCs w:val="32"/>
        </w:rPr>
        <w:t>。</w:t>
      </w:r>
      <w:r>
        <w:rPr>
          <w:rFonts w:hint="eastAsia" w:ascii="仿宋_GB2312" w:eastAsia="仿宋_GB2312"/>
          <w:b/>
          <w:bCs/>
          <w:sz w:val="32"/>
          <w:szCs w:val="32"/>
        </w:rPr>
        <w:t>与年初预算相比,</w:t>
      </w:r>
      <w:r>
        <w:rPr>
          <w:rFonts w:hint="eastAsia" w:ascii="仿宋_GB2312" w:eastAsia="仿宋_GB2312"/>
          <w:sz w:val="32"/>
          <w:szCs w:val="32"/>
        </w:rPr>
        <w:t>年初预算数3,967.47万元，决算数5,062.98万元，预决算差异率27.61%，主要原因是：</w:t>
      </w:r>
      <w:r>
        <w:rPr>
          <w:rFonts w:hint="eastAsia" w:ascii="仿宋_GB2312" w:eastAsia="仿宋_GB2312"/>
          <w:sz w:val="32"/>
          <w:szCs w:val="32"/>
          <w:lang w:val="en-US" w:eastAsia="zh-CN"/>
        </w:rPr>
        <w:t>一是</w:t>
      </w:r>
      <w:r>
        <w:rPr>
          <w:rFonts w:hint="eastAsia" w:ascii="仿宋_GB2312" w:eastAsia="仿宋_GB2312"/>
          <w:sz w:val="32"/>
          <w:szCs w:val="32"/>
        </w:rPr>
        <w:t>本年人员经费工资</w:t>
      </w:r>
      <w:r>
        <w:rPr>
          <w:rFonts w:hint="eastAsia" w:ascii="仿宋_GB2312" w:eastAsia="仿宋_GB2312"/>
          <w:sz w:val="32"/>
          <w:szCs w:val="32"/>
          <w:lang w:val="en-US" w:eastAsia="zh-CN"/>
        </w:rPr>
        <w:t>调增</w:t>
      </w:r>
      <w:r>
        <w:rPr>
          <w:rFonts w:hint="eastAsia" w:ascii="仿宋_GB2312" w:eastAsia="仿宋_GB2312"/>
          <w:sz w:val="32"/>
          <w:szCs w:val="32"/>
        </w:rPr>
        <w:t>；</w:t>
      </w:r>
      <w:r>
        <w:rPr>
          <w:rFonts w:hint="eastAsia" w:ascii="仿宋_GB2312" w:eastAsia="仿宋_GB2312"/>
          <w:sz w:val="32"/>
          <w:szCs w:val="32"/>
          <w:lang w:val="en-US" w:eastAsia="zh-CN"/>
        </w:rPr>
        <w:t>二是年中</w:t>
      </w:r>
      <w:r>
        <w:rPr>
          <w:rFonts w:hint="eastAsia" w:ascii="仿宋_GB2312" w:eastAsia="仿宋_GB2312"/>
          <w:sz w:val="32"/>
          <w:szCs w:val="32"/>
        </w:rPr>
        <w:t>追加2024年自治区旅游发展专项资金</w:t>
      </w:r>
      <w:r>
        <w:rPr>
          <w:rFonts w:hint="eastAsia" w:ascii="仿宋_GB2312" w:eastAsia="仿宋_GB2312"/>
          <w:sz w:val="32"/>
          <w:szCs w:val="32"/>
          <w:lang w:eastAsia="zh-CN"/>
        </w:rPr>
        <w:t>；</w:t>
      </w:r>
      <w:r>
        <w:rPr>
          <w:rFonts w:hint="eastAsia" w:ascii="仿宋_GB2312" w:eastAsia="仿宋_GB2312"/>
          <w:sz w:val="32"/>
          <w:szCs w:val="32"/>
          <w:lang w:val="en-US" w:eastAsia="zh-CN"/>
        </w:rPr>
        <w:t>三是</w:t>
      </w:r>
      <w:r>
        <w:rPr>
          <w:rFonts w:hint="eastAsia" w:ascii="仿宋_GB2312" w:eastAsia="仿宋_GB2312"/>
          <w:sz w:val="32"/>
          <w:szCs w:val="32"/>
        </w:rPr>
        <w:t>追加了自治区彩票公益金支持文化和旅游志愿服务项目</w:t>
      </w:r>
      <w:r>
        <w:rPr>
          <w:rFonts w:hint="eastAsia" w:ascii="仿宋_GB2312" w:eastAsia="仿宋_GB2312"/>
          <w:sz w:val="32"/>
          <w:szCs w:val="32"/>
          <w:lang w:val="en-US" w:eastAsia="zh-CN"/>
        </w:rPr>
        <w:t>资金</w:t>
      </w:r>
      <w:r>
        <w:rPr>
          <w:rFonts w:hint="eastAsia" w:ascii="仿宋_GB2312" w:eastAsia="仿宋_GB2312"/>
          <w:sz w:val="32"/>
          <w:szCs w:val="32"/>
        </w:rPr>
        <w:t>。</w:t>
      </w:r>
    </w:p>
    <w:p>
      <w:pPr>
        <w:keepNext w:val="0"/>
        <w:keepLines w:val="0"/>
        <w:pageBreakBefore w:val="0"/>
        <w:widowControl/>
        <w:shd w:val="clear"/>
        <w:kinsoku/>
        <w:wordWrap w:val="0"/>
        <w:overflowPunct/>
        <w:topLinePunct w:val="0"/>
        <w:bidi w:val="0"/>
        <w:adjustRightInd/>
        <w:snapToGrid/>
        <w:spacing w:line="560" w:lineRule="exact"/>
        <w:ind w:firstLine="703"/>
        <w:jc w:val="both"/>
        <w:textAlignment w:val="auto"/>
        <w:rPr>
          <w:rFonts w:ascii="宋体" w:hAnsi="宋体" w:cs="宋体"/>
          <w:kern w:val="0"/>
          <w:sz w:val="24"/>
        </w:rPr>
      </w:pPr>
    </w:p>
    <w:p>
      <w:pPr>
        <w:keepNext w:val="0"/>
        <w:keepLines w:val="0"/>
        <w:pageBreakBefore w:val="0"/>
        <w:shd w:val="clear"/>
        <w:kinsoku/>
        <w:overflowPunct/>
        <w:topLinePunct w:val="0"/>
        <w:bidi w:val="0"/>
        <w:adjustRightInd/>
        <w:snapToGrid/>
        <w:spacing w:line="560" w:lineRule="exact"/>
        <w:ind w:firstLine="640" w:firstLineChars="200"/>
        <w:textAlignment w:val="auto"/>
        <w:outlineLvl w:val="2"/>
        <w:rPr>
          <w:rFonts w:ascii="黑体" w:hAnsi="黑体" w:eastAsia="黑体"/>
          <w:sz w:val="32"/>
          <w:szCs w:val="32"/>
        </w:rPr>
      </w:pPr>
      <w:bookmarkStart w:id="19" w:name="_Toc27147"/>
      <w:r>
        <w:rPr>
          <w:rFonts w:hint="eastAsia" w:ascii="黑体" w:hAnsi="黑体" w:eastAsia="黑体"/>
          <w:sz w:val="32"/>
          <w:szCs w:val="32"/>
        </w:rPr>
        <w:t>（二）一般公共预算财政拨款支出决算结构情况</w:t>
      </w:r>
      <w:bookmarkEnd w:id="19"/>
    </w:p>
    <w:p>
      <w:pPr>
        <w:keepNext w:val="0"/>
        <w:keepLines w:val="0"/>
        <w:pageBreakBefore w:val="0"/>
        <w:shd w:val="clear"/>
        <w:kinsoku/>
        <w:overflowPunct/>
        <w:topLinePunct w:val="0"/>
        <w:bidi w:val="0"/>
        <w:adjustRightInd/>
        <w:snapToGrid/>
        <w:spacing w:line="56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shd w:val="clear"/>
        </w:rPr>
        <w:t>文化旅游体育与传媒支出（类）5,0</w:t>
      </w:r>
      <w:r>
        <w:rPr>
          <w:rFonts w:hint="eastAsia" w:ascii="仿宋_GB2312" w:hAnsi="仿宋_GB2312" w:eastAsia="仿宋_GB2312" w:cs="仿宋_GB2312"/>
          <w:sz w:val="32"/>
          <w:szCs w:val="32"/>
        </w:rPr>
        <w:t>62.98万元，占100%。</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2"/>
        <w:rPr>
          <w:rFonts w:ascii="黑体" w:hAnsi="黑体" w:eastAsia="黑体"/>
          <w:sz w:val="32"/>
          <w:szCs w:val="32"/>
        </w:rPr>
      </w:pPr>
      <w:bookmarkStart w:id="20" w:name="_Toc10037"/>
      <w:r>
        <w:rPr>
          <w:rFonts w:hint="eastAsia" w:ascii="黑体" w:hAnsi="黑体" w:eastAsia="黑体"/>
          <w:sz w:val="32"/>
          <w:szCs w:val="32"/>
        </w:rPr>
        <w:t>（三）一般公共预算财政拨款支出决算具体情况</w:t>
      </w:r>
      <w:bookmarkEnd w:id="20"/>
    </w:p>
    <w:p>
      <w:pPr>
        <w:keepNext w:val="0"/>
        <w:keepLines w:val="0"/>
        <w:pageBreakBefore w:val="0"/>
        <w:widowControl/>
        <w:shd w:val="clear" w:color="auto"/>
        <w:kinsoku/>
        <w:overflowPunct/>
        <w:topLinePunct w:val="0"/>
        <w:bidi w:val="0"/>
        <w:adjustRightInd/>
        <w:snapToGrid/>
        <w:spacing w:line="560" w:lineRule="exact"/>
        <w:ind w:firstLine="640" w:firstLineChars="200"/>
        <w:jc w:val="both"/>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1.文化旅游体育与传媒支出（类）文化和旅游（款）图书馆（项）：支出决算数为4,395.98万元，比上年决算增加907.88万元，增长26.03%，主要原因是：年中</w:t>
      </w:r>
      <w:r>
        <w:rPr>
          <w:rFonts w:hint="eastAsia" w:ascii="仿宋_GB2312" w:hAnsi="仿宋_GB2312" w:eastAsia="仿宋_GB2312" w:cs="仿宋_GB2312"/>
          <w:kern w:val="0"/>
          <w:sz w:val="32"/>
          <w:szCs w:val="32"/>
          <w:lang w:val="en-US" w:eastAsia="zh-CN"/>
        </w:rPr>
        <w:t>人员</w:t>
      </w:r>
      <w:r>
        <w:rPr>
          <w:rFonts w:hint="eastAsia" w:ascii="仿宋_GB2312" w:hAnsi="仿宋_GB2312" w:eastAsia="仿宋_GB2312" w:cs="仿宋_GB2312"/>
          <w:kern w:val="0"/>
          <w:sz w:val="32"/>
          <w:szCs w:val="32"/>
        </w:rPr>
        <w:t>工资</w:t>
      </w:r>
      <w:r>
        <w:rPr>
          <w:rFonts w:hint="eastAsia" w:ascii="仿宋_GB2312" w:hAnsi="仿宋_GB2312" w:eastAsia="仿宋_GB2312" w:cs="仿宋_GB2312"/>
          <w:color w:val="auto"/>
          <w:kern w:val="0"/>
          <w:sz w:val="32"/>
          <w:szCs w:val="32"/>
        </w:rPr>
        <w:t>调增</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追加</w:t>
      </w:r>
      <w:r>
        <w:rPr>
          <w:rFonts w:hint="eastAsia" w:ascii="仿宋_GB2312" w:hAnsi="仿宋_GB2312" w:eastAsia="仿宋_GB2312" w:cs="仿宋_GB2312"/>
          <w:kern w:val="0"/>
          <w:sz w:val="32"/>
          <w:szCs w:val="32"/>
          <w:lang w:val="en-US" w:eastAsia="zh-CN"/>
        </w:rPr>
        <w:t>新财教〔2024〕51号项目</w:t>
      </w:r>
      <w:r>
        <w:rPr>
          <w:rFonts w:hint="eastAsia" w:ascii="仿宋_GB2312" w:hAnsi="仿宋_GB2312" w:eastAsia="仿宋_GB2312" w:cs="仿宋_GB2312"/>
          <w:kern w:val="0"/>
          <w:sz w:val="32"/>
          <w:szCs w:val="32"/>
        </w:rPr>
        <w:t>。</w:t>
      </w:r>
    </w:p>
    <w:p>
      <w:pPr>
        <w:keepNext w:val="0"/>
        <w:keepLines w:val="0"/>
        <w:pageBreakBefore w:val="0"/>
        <w:widowControl/>
        <w:shd w:val="clear" w:color="auto"/>
        <w:kinsoku/>
        <w:overflowPunct/>
        <w:topLinePunct w:val="0"/>
        <w:bidi w:val="0"/>
        <w:adjustRightInd/>
        <w:snapToGrid/>
        <w:spacing w:line="560" w:lineRule="exact"/>
        <w:ind w:firstLine="480"/>
        <w:jc w:val="both"/>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2.文化旅游体育与传媒支出（类）文化和旅游（款）文化创作与保护（项）：支出决算数为0万元，比上年决算减少15万元，下降100%，主要原因是：</w:t>
      </w:r>
      <w:r>
        <w:rPr>
          <w:rFonts w:hint="eastAsia" w:ascii="仿宋_GB2312" w:hAnsi="仿宋_GB2312" w:eastAsia="仿宋_GB2312" w:cs="仿宋_GB2312"/>
          <w:kern w:val="0"/>
          <w:sz w:val="32"/>
          <w:szCs w:val="32"/>
          <w:lang w:val="en-US" w:eastAsia="zh-CN"/>
        </w:rPr>
        <w:t>本年较上年无</w:t>
      </w:r>
      <w:r>
        <w:rPr>
          <w:rFonts w:hint="eastAsia" w:ascii="仿宋_GB2312" w:hAnsi="仿宋_GB2312" w:eastAsia="仿宋_GB2312" w:cs="仿宋_GB2312"/>
          <w:kern w:val="0"/>
          <w:sz w:val="32"/>
          <w:szCs w:val="32"/>
        </w:rPr>
        <w:t>自治区文艺扶持激励项目15万元。</w:t>
      </w:r>
    </w:p>
    <w:p>
      <w:pPr>
        <w:keepNext w:val="0"/>
        <w:keepLines w:val="0"/>
        <w:pageBreakBefore w:val="0"/>
        <w:widowControl/>
        <w:shd w:val="clear" w:color="auto"/>
        <w:kinsoku/>
        <w:overflowPunct/>
        <w:topLinePunct w:val="0"/>
        <w:bidi w:val="0"/>
        <w:adjustRightInd/>
        <w:snapToGrid/>
        <w:spacing w:line="560" w:lineRule="exact"/>
        <w:ind w:firstLine="640" w:firstLineChars="200"/>
        <w:jc w:val="both"/>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文化旅游体育与传媒支出（类）文化和旅游（款）旅游宣传（项）：支出决算数为150万元，比上年决算增加150万元，增长100%，主要原因是：年中追加自治区旅游发展专项资金150万元，用于昆仑尼山书院研学游项目70万元及历代西域诗抄展览项目80万元。</w:t>
      </w:r>
    </w:p>
    <w:p>
      <w:pPr>
        <w:keepNext w:val="0"/>
        <w:keepLines w:val="0"/>
        <w:pageBreakBefore w:val="0"/>
        <w:widowControl/>
        <w:shd w:val="clear" w:color="auto"/>
        <w:kinsoku/>
        <w:overflowPunct/>
        <w:topLinePunct w:val="0"/>
        <w:bidi w:val="0"/>
        <w:adjustRightInd/>
        <w:snapToGrid/>
        <w:spacing w:line="560" w:lineRule="exact"/>
        <w:ind w:firstLine="640" w:firstLineChars="200"/>
        <w:jc w:val="both"/>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文化旅游体育与传媒支出（类）文化和旅游（款）其他文化和旅游支出（项）：支出决算数为97万元，比上年决算减少90.42万元，下降48.24%，主要原因是：上年支出含2022年度结转资金77.42万元，本年均为当年项目资金。</w:t>
      </w:r>
    </w:p>
    <w:p>
      <w:pPr>
        <w:keepNext w:val="0"/>
        <w:keepLines w:val="0"/>
        <w:pageBreakBefore w:val="0"/>
        <w:widowControl/>
        <w:shd w:val="clear" w:color="auto"/>
        <w:kinsoku/>
        <w:overflowPunct/>
        <w:topLinePunct w:val="0"/>
        <w:bidi w:val="0"/>
        <w:adjustRightInd/>
        <w:snapToGrid/>
        <w:spacing w:line="560" w:lineRule="exact"/>
        <w:ind w:firstLine="640" w:firstLineChars="200"/>
        <w:jc w:val="both"/>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文化旅游体育与传媒支出（类）其他文化旅游体育与传媒支出（款）其他文化旅游体育与传媒支出（项）：支出决算数为420万元，比上年决算减少137.84万元，下降24.71%，主要原因是：上年支出含2022年度结转中央补助地方公共文化服务体系建设资金362.84万元,本年均为当年项目资金。</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21" w:name="_Toc23415"/>
      <w:bookmarkStart w:id="22" w:name="_Toc11146"/>
      <w:r>
        <w:rPr>
          <w:rFonts w:hint="eastAsia" w:ascii="黑体" w:hAnsi="黑体" w:eastAsia="黑体" w:cs="宋体"/>
          <w:bCs/>
          <w:kern w:val="0"/>
          <w:sz w:val="32"/>
          <w:szCs w:val="32"/>
        </w:rPr>
        <w:t>六、一般公共预算财政拨款基本支出决算情况说明</w:t>
      </w:r>
      <w:bookmarkEnd w:id="21"/>
      <w:bookmarkEnd w:id="22"/>
    </w:p>
    <w:p>
      <w:pPr>
        <w:keepNext w:val="0"/>
        <w:keepLines w:val="0"/>
        <w:pageBreakBefore w:val="0"/>
        <w:widowControl/>
        <w:shd w:val="clear" w:color="auto"/>
        <w:kinsoku/>
        <w:wordWrap w:val="0"/>
        <w:overflowPunct/>
        <w:topLinePunct w:val="0"/>
        <w:bidi w:val="0"/>
        <w:adjustRightInd/>
        <w:snapToGrid/>
        <w:spacing w:line="560" w:lineRule="exact"/>
        <w:ind w:firstLine="703"/>
        <w:jc w:val="both"/>
        <w:textAlignment w:val="auto"/>
        <w:rPr>
          <w:rFonts w:ascii="仿宋_GB2312" w:eastAsia="仿宋_GB2312"/>
          <w:sz w:val="32"/>
          <w:szCs w:val="32"/>
        </w:rPr>
      </w:pPr>
      <w:r>
        <w:rPr>
          <w:rFonts w:hint="eastAsia" w:ascii="仿宋_GB2312" w:eastAsia="仿宋_GB2312"/>
          <w:sz w:val="32"/>
          <w:szCs w:val="32"/>
        </w:rPr>
        <w:t>2024年度一般公共预算财政拨款基本支出2,709.88万元，其中：</w:t>
      </w:r>
      <w:r>
        <w:rPr>
          <w:rFonts w:hint="eastAsia" w:ascii="仿宋_GB2312" w:eastAsia="仿宋_GB2312"/>
          <w:b/>
          <w:bCs/>
          <w:sz w:val="32"/>
          <w:szCs w:val="32"/>
        </w:rPr>
        <w:t>人员经费1,870.19万元，</w:t>
      </w:r>
      <w:r>
        <w:rPr>
          <w:rFonts w:hint="eastAsia" w:ascii="仿宋_GB2312" w:eastAsia="仿宋_GB2312"/>
          <w:sz w:val="32"/>
          <w:szCs w:val="32"/>
        </w:rPr>
        <w:t>包括：基本工资、津贴补贴、奖金、绩效工资、机关事业单位基本养老保险缴费、职业年金缴费、职工基本医疗保险缴费、公务员医疗补助缴费、其他社会保障缴费、住房公积金、其他工资福利支出、退休费、抚恤金、生活补助和奖励金。</w:t>
      </w:r>
    </w:p>
    <w:p>
      <w:pPr>
        <w:keepNext w:val="0"/>
        <w:keepLines w:val="0"/>
        <w:pageBreakBefore w:val="0"/>
        <w:widowControl/>
        <w:shd w:val="clear" w:color="auto"/>
        <w:kinsoku/>
        <w:wordWrap w:val="0"/>
        <w:overflowPunct/>
        <w:topLinePunct w:val="0"/>
        <w:bidi w:val="0"/>
        <w:adjustRightInd/>
        <w:snapToGrid/>
        <w:spacing w:line="560" w:lineRule="exact"/>
        <w:ind w:firstLine="703"/>
        <w:textAlignment w:val="auto"/>
        <w:rPr>
          <w:rFonts w:ascii="仿宋_GB2312" w:eastAsia="仿宋_GB2312"/>
          <w:sz w:val="32"/>
          <w:szCs w:val="32"/>
        </w:rPr>
      </w:pPr>
      <w:r>
        <w:rPr>
          <w:rFonts w:hint="eastAsia" w:ascii="仿宋_GB2312" w:eastAsia="仿宋_GB2312"/>
          <w:b/>
          <w:bCs/>
          <w:sz w:val="32"/>
          <w:szCs w:val="32"/>
        </w:rPr>
        <w:t>公用经费839.68万元，</w:t>
      </w:r>
      <w:r>
        <w:rPr>
          <w:rFonts w:hint="eastAsia" w:ascii="仿宋_GB2312" w:eastAsia="仿宋_GB2312"/>
          <w:sz w:val="32"/>
          <w:szCs w:val="32"/>
        </w:rPr>
        <w:t>包括：办公费、印刷费、水费、电费、邮电费、取暖费、物业管理费、差旅费、公务接待费、工会经费、福利费、公务用车运行维护费、其他交通费用和其他商品和服务支出。</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23" w:name="_Toc7927"/>
      <w:bookmarkStart w:id="24" w:name="_Toc7523"/>
      <w:r>
        <w:rPr>
          <w:rFonts w:hint="eastAsia" w:ascii="黑体" w:hAnsi="黑体" w:eastAsia="黑体" w:cs="宋体"/>
          <w:bCs/>
          <w:kern w:val="0"/>
          <w:sz w:val="32"/>
          <w:szCs w:val="32"/>
        </w:rPr>
        <w:t>七、政府性基金预算财政拨款收入支出决算情况说明</w:t>
      </w:r>
      <w:bookmarkEnd w:id="23"/>
      <w:bookmarkEnd w:id="24"/>
    </w:p>
    <w:p>
      <w:pPr>
        <w:keepNext w:val="0"/>
        <w:keepLines w:val="0"/>
        <w:pageBreakBefore w:val="0"/>
        <w:shd w:val="clear"/>
        <w:kinsoku/>
        <w:overflowPunct/>
        <w:topLinePunct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2024年度政府性基金预算财政拨款收入总计982.94万元，</w:t>
      </w:r>
      <w:r>
        <w:rPr>
          <w:rFonts w:hint="eastAsia" w:ascii="仿宋_GB2312" w:eastAsia="仿宋_GB2312"/>
          <w:sz w:val="32"/>
          <w:szCs w:val="32"/>
        </w:rPr>
        <w:t>其中：年初结转和结余0万元，本年收入982.94万元。</w:t>
      </w:r>
      <w:r>
        <w:rPr>
          <w:rFonts w:hint="eastAsia" w:ascii="仿宋_GB2312" w:eastAsia="仿宋_GB2312"/>
          <w:b/>
          <w:bCs/>
          <w:sz w:val="32"/>
          <w:szCs w:val="32"/>
        </w:rPr>
        <w:t>政府性基金预算财政拨款支出总计982.94万元，</w:t>
      </w:r>
      <w:r>
        <w:rPr>
          <w:rFonts w:hint="eastAsia" w:ascii="仿宋_GB2312" w:eastAsia="仿宋_GB2312"/>
          <w:sz w:val="32"/>
          <w:szCs w:val="32"/>
        </w:rPr>
        <w:t>其中：年末结转和结余0万元，本年支出982.94万元。</w:t>
      </w:r>
    </w:p>
    <w:p>
      <w:pPr>
        <w:keepNext w:val="0"/>
        <w:keepLines w:val="0"/>
        <w:pageBreakBefore w:val="0"/>
        <w:widowControl/>
        <w:shd w:val="clear" w:color="auto"/>
        <w:kinsoku/>
        <w:wordWrap w:val="0"/>
        <w:overflowPunct/>
        <w:topLinePunct w:val="0"/>
        <w:bidi w:val="0"/>
        <w:adjustRightInd/>
        <w:snapToGrid/>
        <w:spacing w:line="560" w:lineRule="exact"/>
        <w:ind w:firstLine="703"/>
        <w:textAlignment w:val="auto"/>
        <w:rPr>
          <w:rFonts w:ascii="宋体" w:hAnsi="宋体" w:cs="宋体"/>
          <w:kern w:val="0"/>
          <w:sz w:val="24"/>
        </w:rPr>
      </w:pPr>
      <w:r>
        <w:rPr>
          <w:rFonts w:hint="eastAsia" w:ascii="仿宋_GB2312" w:hAnsi="仿宋_GB2312" w:eastAsia="仿宋_GB2312" w:cs="仿宋_GB2312"/>
          <w:b/>
          <w:kern w:val="0"/>
          <w:sz w:val="32"/>
          <w:szCs w:val="32"/>
        </w:rPr>
        <w:t>政府性基金预算财政拨款收入支出总体</w:t>
      </w:r>
      <w:r>
        <w:rPr>
          <w:rFonts w:hint="eastAsia" w:ascii="仿宋_GB2312" w:hAnsi="仿宋_GB2312" w:eastAsia="仿宋_GB2312" w:cs="仿宋_GB2312"/>
          <w:b/>
          <w:sz w:val="32"/>
          <w:szCs w:val="32"/>
        </w:rPr>
        <w:t>与上年相</w:t>
      </w:r>
      <w:r>
        <w:rPr>
          <w:rFonts w:hint="eastAsia" w:ascii="仿宋_GB2312" w:eastAsia="仿宋_GB2312"/>
          <w:b/>
          <w:bCs/>
          <w:sz w:val="32"/>
          <w:szCs w:val="32"/>
        </w:rPr>
        <w:t>比，</w:t>
      </w:r>
      <w:r>
        <w:rPr>
          <w:rFonts w:hint="eastAsia" w:ascii="仿宋_GB2312" w:eastAsia="仿宋_GB2312"/>
          <w:sz w:val="32"/>
          <w:szCs w:val="32"/>
        </w:rPr>
        <w:t>增加173.38万元，增长21.42%，主要原因是：</w:t>
      </w:r>
      <w:r>
        <w:rPr>
          <w:rFonts w:hint="eastAsia" w:ascii="仿宋_GB2312" w:eastAsia="仿宋_GB2312"/>
          <w:sz w:val="32"/>
          <w:szCs w:val="32"/>
          <w:lang w:val="en-US" w:eastAsia="zh-CN"/>
        </w:rPr>
        <w:t>一是</w:t>
      </w:r>
      <w:r>
        <w:rPr>
          <w:rFonts w:hint="eastAsia" w:ascii="仿宋_GB2312" w:eastAsia="仿宋_GB2312"/>
          <w:sz w:val="32"/>
          <w:szCs w:val="32"/>
        </w:rPr>
        <w:t>年中追加自治区彩票公益金支持文化和旅游志愿服务项目</w:t>
      </w:r>
      <w:r>
        <w:rPr>
          <w:rFonts w:hint="eastAsia" w:ascii="仿宋_GB2312" w:eastAsia="仿宋_GB2312"/>
          <w:sz w:val="32"/>
          <w:szCs w:val="32"/>
          <w:lang w:eastAsia="zh-CN"/>
        </w:rPr>
        <w:t>；</w:t>
      </w:r>
      <w:r>
        <w:rPr>
          <w:rFonts w:hint="eastAsia" w:ascii="仿宋_GB2312" w:eastAsia="仿宋_GB2312"/>
          <w:sz w:val="32"/>
          <w:szCs w:val="32"/>
          <w:lang w:val="en-US" w:eastAsia="zh-CN"/>
        </w:rPr>
        <w:t>二是本年</w:t>
      </w:r>
      <w:r>
        <w:rPr>
          <w:rFonts w:hint="eastAsia" w:ascii="仿宋_GB2312" w:eastAsia="仿宋_GB2312"/>
          <w:sz w:val="32"/>
          <w:szCs w:val="32"/>
        </w:rPr>
        <w:t>中央专项彩票公益金项目—图书文献购置</w:t>
      </w:r>
      <w:r>
        <w:rPr>
          <w:rFonts w:hint="eastAsia" w:ascii="仿宋_GB2312" w:eastAsia="仿宋_GB2312"/>
          <w:sz w:val="32"/>
          <w:szCs w:val="32"/>
          <w:lang w:val="en-US" w:eastAsia="zh-CN"/>
        </w:rPr>
        <w:t>经费含上年结转</w:t>
      </w:r>
      <w:r>
        <w:rPr>
          <w:rFonts w:hint="eastAsia" w:ascii="仿宋_GB2312" w:eastAsia="仿宋_GB2312"/>
          <w:sz w:val="32"/>
          <w:szCs w:val="32"/>
        </w:rPr>
        <w:t>。</w:t>
      </w:r>
      <w:r>
        <w:rPr>
          <w:rFonts w:hint="eastAsia" w:ascii="仿宋_GB2312" w:eastAsia="仿宋_GB2312"/>
          <w:b/>
          <w:bCs/>
          <w:sz w:val="32"/>
          <w:szCs w:val="32"/>
        </w:rPr>
        <w:t>与年初预算相比，</w:t>
      </w:r>
      <w:r>
        <w:rPr>
          <w:rFonts w:hint="eastAsia" w:ascii="仿宋_GB2312" w:eastAsia="仿宋_GB2312"/>
          <w:sz w:val="32"/>
          <w:szCs w:val="32"/>
        </w:rPr>
        <w:t>年初预算数902.94万元，决算数982.94万元，预决算差异率8.86%，主要原因是：年中追加自治区彩票公益金支持文化和旅游志愿服务项目</w:t>
      </w:r>
      <w:r>
        <w:rPr>
          <w:rFonts w:hint="eastAsia" w:ascii="仿宋_GB2312" w:eastAsia="仿宋_GB2312"/>
          <w:sz w:val="32"/>
          <w:szCs w:val="32"/>
          <w:lang w:val="en-US" w:eastAsia="zh-CN"/>
        </w:rPr>
        <w:t>经费</w:t>
      </w:r>
      <w:r>
        <w:rPr>
          <w:rFonts w:hint="eastAsia" w:ascii="仿宋_GB2312" w:eastAsia="仿宋_GB2312"/>
          <w:sz w:val="32"/>
          <w:szCs w:val="32"/>
        </w:rPr>
        <w:t>。</w:t>
      </w:r>
    </w:p>
    <w:p>
      <w:pPr>
        <w:keepNext w:val="0"/>
        <w:keepLines w:val="0"/>
        <w:pageBreakBefore w:val="0"/>
        <w:shd w:val="clear"/>
        <w:kinsoku/>
        <w:overflowPunct/>
        <w:topLinePunct w:val="0"/>
        <w:bidi w:val="0"/>
        <w:adjustRightInd/>
        <w:snapToGrid/>
        <w:spacing w:line="560" w:lineRule="exact"/>
        <w:ind w:firstLine="642" w:firstLineChars="200"/>
        <w:textAlignment w:val="auto"/>
        <w:rPr>
          <w:rFonts w:ascii="仿宋_GB2312" w:eastAsia="仿宋_GB2312"/>
          <w:b/>
          <w:bCs/>
          <w:sz w:val="32"/>
          <w:szCs w:val="32"/>
        </w:rPr>
      </w:pPr>
      <w:r>
        <w:rPr>
          <w:rFonts w:hint="eastAsia" w:ascii="仿宋_GB2312" w:eastAsia="仿宋_GB2312"/>
          <w:b/>
          <w:bCs/>
          <w:sz w:val="32"/>
          <w:szCs w:val="32"/>
        </w:rPr>
        <w:t>政府性基金预算财政拨款支出982.94万元。</w:t>
      </w:r>
    </w:p>
    <w:p>
      <w:pPr>
        <w:keepNext w:val="0"/>
        <w:keepLines w:val="0"/>
        <w:pageBreakBefore w:val="0"/>
        <w:widowControl/>
        <w:shd w:val="clear" w:color="auto"/>
        <w:kinsoku/>
        <w:overflowPunct/>
        <w:topLinePunct w:val="0"/>
        <w:bidi w:val="0"/>
        <w:adjustRightInd/>
        <w:snapToGrid/>
        <w:spacing w:line="560" w:lineRule="exact"/>
        <w:ind w:firstLine="640" w:firstLineChars="200"/>
        <w:jc w:val="both"/>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其他支出（类）彩票公益金安排的支出（款）用于文化事业的彩票公益金支出（项）：支出决算数为982.94万元，比上年决算增加173.38万元，增长21.42%，主要原因是：</w:t>
      </w:r>
      <w:r>
        <w:rPr>
          <w:rFonts w:hint="eastAsia" w:ascii="仿宋_GB2312" w:eastAsia="仿宋_GB2312"/>
          <w:sz w:val="32"/>
          <w:szCs w:val="32"/>
          <w:lang w:val="en-US" w:eastAsia="zh-CN"/>
        </w:rPr>
        <w:t>一是</w:t>
      </w:r>
      <w:r>
        <w:rPr>
          <w:rFonts w:hint="eastAsia" w:ascii="仿宋_GB2312" w:eastAsia="仿宋_GB2312"/>
          <w:sz w:val="32"/>
          <w:szCs w:val="32"/>
        </w:rPr>
        <w:t>年中追加自治区彩票公益金支持文化和旅游志愿服务项目</w:t>
      </w:r>
      <w:r>
        <w:rPr>
          <w:rFonts w:hint="eastAsia" w:ascii="仿宋_GB2312" w:eastAsia="仿宋_GB2312"/>
          <w:sz w:val="32"/>
          <w:szCs w:val="32"/>
          <w:lang w:eastAsia="zh-CN"/>
        </w:rPr>
        <w:t>；</w:t>
      </w:r>
      <w:r>
        <w:rPr>
          <w:rFonts w:hint="eastAsia" w:ascii="仿宋_GB2312" w:eastAsia="仿宋_GB2312"/>
          <w:sz w:val="32"/>
          <w:szCs w:val="32"/>
          <w:lang w:val="en-US" w:eastAsia="zh-CN"/>
        </w:rPr>
        <w:t>二是本年</w:t>
      </w:r>
      <w:r>
        <w:rPr>
          <w:rFonts w:hint="eastAsia" w:ascii="仿宋_GB2312" w:eastAsia="仿宋_GB2312"/>
          <w:sz w:val="32"/>
          <w:szCs w:val="32"/>
        </w:rPr>
        <w:t>中央专项彩票公益金项目—图书文献购置</w:t>
      </w:r>
      <w:r>
        <w:rPr>
          <w:rFonts w:hint="eastAsia" w:ascii="仿宋_GB2312" w:eastAsia="仿宋_GB2312"/>
          <w:sz w:val="32"/>
          <w:szCs w:val="32"/>
          <w:lang w:val="en-US" w:eastAsia="zh-CN"/>
        </w:rPr>
        <w:t>经费含上年结转</w:t>
      </w:r>
      <w:r>
        <w:rPr>
          <w:rFonts w:hint="eastAsia" w:ascii="仿宋_GB2312" w:hAnsi="仿宋_GB2312" w:eastAsia="仿宋_GB2312" w:cs="仿宋_GB2312"/>
          <w:kern w:val="0"/>
          <w:sz w:val="32"/>
          <w:szCs w:val="32"/>
        </w:rPr>
        <w:t>。</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25" w:name="_Toc5563"/>
      <w:r>
        <w:rPr>
          <w:rFonts w:hint="eastAsia" w:ascii="黑体" w:hAnsi="黑体" w:eastAsia="黑体" w:cs="宋体"/>
          <w:bCs/>
          <w:kern w:val="0"/>
          <w:sz w:val="32"/>
          <w:szCs w:val="32"/>
        </w:rPr>
        <w:t>八、国有资本经营预算财政拨款收入支出决算情况说明</w:t>
      </w:r>
      <w:bookmarkEnd w:id="25"/>
    </w:p>
    <w:p>
      <w:pPr>
        <w:keepNext w:val="0"/>
        <w:keepLines w:val="0"/>
        <w:pageBreakBefore w:val="0"/>
        <w:shd w:val="clear"/>
        <w:kinsoku/>
        <w:overflowPunct/>
        <w:topLinePunct w:val="0"/>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本单位本年度无国有资本经营预算财政拨款收入、支出及结转和结余，国有资本经营预算财政拨款收入支出决算表为空表。</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26" w:name="_Toc9161"/>
      <w:bookmarkStart w:id="27" w:name="_Toc7190"/>
      <w:r>
        <w:rPr>
          <w:rFonts w:hint="eastAsia" w:ascii="黑体" w:hAnsi="黑体" w:eastAsia="黑体" w:cs="宋体"/>
          <w:bCs/>
          <w:kern w:val="0"/>
          <w:sz w:val="32"/>
          <w:szCs w:val="32"/>
        </w:rPr>
        <w:t>九、财政拨款“三公”经费支出决算情况说明</w:t>
      </w:r>
      <w:bookmarkEnd w:id="26"/>
      <w:bookmarkEnd w:id="27"/>
    </w:p>
    <w:p>
      <w:pPr>
        <w:keepNext w:val="0"/>
        <w:keepLines w:val="0"/>
        <w:pageBreakBefore w:val="0"/>
        <w:widowControl/>
        <w:shd w:val="clear" w:color="auto"/>
        <w:kinsoku/>
        <w:wordWrap w:val="0"/>
        <w:overflowPunct/>
        <w:topLinePunct w:val="0"/>
        <w:bidi w:val="0"/>
        <w:adjustRightInd/>
        <w:snapToGrid/>
        <w:spacing w:line="560" w:lineRule="exact"/>
        <w:ind w:firstLine="703"/>
        <w:jc w:val="both"/>
        <w:textAlignment w:val="auto"/>
        <w:rPr>
          <w:rFonts w:ascii="仿宋_GB2312" w:eastAsia="仿宋_GB2312"/>
          <w:sz w:val="32"/>
          <w:szCs w:val="32"/>
        </w:rPr>
      </w:pPr>
      <w:r>
        <w:rPr>
          <w:rFonts w:hint="eastAsia" w:ascii="仿宋_GB2312" w:eastAsia="仿宋_GB2312"/>
          <w:b/>
          <w:bCs/>
          <w:sz w:val="32"/>
          <w:szCs w:val="32"/>
        </w:rPr>
        <w:t>2024年度财政拨款“三公”经费支出13.99万元，</w:t>
      </w:r>
      <w:r>
        <w:rPr>
          <w:rFonts w:hint="eastAsia" w:ascii="仿宋_GB2312" w:hAnsi="Times New Roman" w:eastAsia="仿宋_GB2312" w:cs="Times New Roman"/>
          <w:sz w:val="32"/>
          <w:szCs w:val="32"/>
        </w:rPr>
        <w:t>比上年减少1.96万元，下降12.29%，主要原因是：本年未安排因公出国（境）</w:t>
      </w:r>
      <w:r>
        <w:rPr>
          <w:rFonts w:hint="eastAsia" w:ascii="仿宋_GB2312" w:eastAsia="仿宋_GB2312" w:cs="Times New Roman"/>
          <w:sz w:val="32"/>
          <w:szCs w:val="32"/>
          <w:lang w:val="en-US" w:eastAsia="zh-CN"/>
        </w:rPr>
        <w:t>经</w:t>
      </w:r>
      <w:r>
        <w:rPr>
          <w:rFonts w:hint="eastAsia" w:ascii="仿宋_GB2312" w:hAnsi="Times New Roman" w:eastAsia="仿宋_GB2312" w:cs="Times New Roman"/>
          <w:sz w:val="32"/>
          <w:szCs w:val="32"/>
        </w:rPr>
        <w:t>费</w:t>
      </w:r>
      <w:r>
        <w:rPr>
          <w:rFonts w:hint="eastAsia" w:ascii="仿宋_GB2312" w:eastAsia="仿宋_GB2312" w:cs="Times New Roman"/>
          <w:sz w:val="32"/>
          <w:szCs w:val="32"/>
          <w:lang w:eastAsia="zh-CN"/>
        </w:rPr>
        <w:t>支出</w:t>
      </w:r>
      <w:r>
        <w:rPr>
          <w:rFonts w:hint="eastAsia" w:ascii="仿宋_GB2312" w:hAnsi="Times New Roman" w:eastAsia="仿宋_GB2312" w:cs="Times New Roman"/>
          <w:sz w:val="32"/>
          <w:szCs w:val="32"/>
        </w:rPr>
        <w:t>。其中：因公出国（境）费支出0万元,占0%，比上年减少1.96万元，下降100%，主要原因是：本年未安排因公出国（境）</w:t>
      </w:r>
      <w:r>
        <w:rPr>
          <w:rFonts w:hint="eastAsia" w:ascii="仿宋_GB2312" w:eastAsia="仿宋_GB2312" w:cs="Times New Roman"/>
          <w:sz w:val="32"/>
          <w:szCs w:val="32"/>
          <w:lang w:val="en-US" w:eastAsia="zh-CN"/>
        </w:rPr>
        <w:t>经</w:t>
      </w:r>
      <w:r>
        <w:rPr>
          <w:rFonts w:hint="eastAsia" w:ascii="仿宋_GB2312" w:hAnsi="Times New Roman" w:eastAsia="仿宋_GB2312" w:cs="Times New Roman"/>
          <w:sz w:val="32"/>
          <w:szCs w:val="32"/>
        </w:rPr>
        <w:t>费</w:t>
      </w:r>
      <w:r>
        <w:rPr>
          <w:rFonts w:hint="eastAsia" w:ascii="仿宋_GB2312" w:eastAsia="仿宋_GB2312" w:cs="Times New Roman"/>
          <w:sz w:val="32"/>
          <w:szCs w:val="32"/>
          <w:lang w:eastAsia="zh-CN"/>
        </w:rPr>
        <w:t>支出</w:t>
      </w:r>
      <w:r>
        <w:rPr>
          <w:rFonts w:hint="eastAsia" w:ascii="仿宋_GB2312" w:hAnsi="Times New Roman" w:eastAsia="仿宋_GB2312" w:cs="Times New Roman"/>
          <w:sz w:val="32"/>
          <w:szCs w:val="32"/>
        </w:rPr>
        <w:t>；公务用车购置及运行维护费支出13.51万元，占96.57%，</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hAnsi="Times New Roman" w:eastAsia="仿宋_GB2312" w:cs="Times New Roman"/>
          <w:sz w:val="32"/>
          <w:szCs w:val="32"/>
        </w:rPr>
        <w:t>增长</w:t>
      </w:r>
      <w:r>
        <w:rPr>
          <w:rFonts w:hint="eastAsia" w:ascii="仿宋_GB2312" w:hAnsi="Times New Roman" w:eastAsia="仿宋_GB2312" w:cs="Times New Roman"/>
          <w:sz w:val="32"/>
          <w:szCs w:val="32"/>
          <w:lang w:val="en-US" w:eastAsia="zh-CN"/>
        </w:rPr>
        <w:t>0</w:t>
      </w:r>
      <w:r>
        <w:rPr>
          <w:rFonts w:hint="eastAsia" w:ascii="仿宋_GB2312" w:hAnsi="Times New Roman" w:eastAsia="仿宋_GB2312" w:cs="Times New Roman"/>
          <w:sz w:val="32"/>
          <w:szCs w:val="32"/>
        </w:rPr>
        <w:t>%，主要原因是：</w:t>
      </w:r>
      <w:r>
        <w:rPr>
          <w:rFonts w:ascii="仿宋_GB2312" w:eastAsia="仿宋_GB2312"/>
          <w:b w:val="0"/>
          <w:color w:val="auto"/>
          <w:sz w:val="32"/>
          <w:szCs w:val="32"/>
        </w:rPr>
        <w:t>严格执行</w:t>
      </w:r>
      <w:r>
        <w:rPr>
          <w:rFonts w:hint="eastAsia" w:ascii="仿宋_GB2312" w:hAnsi="Times New Roman" w:eastAsia="仿宋_GB2312" w:cs="Times New Roman"/>
          <w:sz w:val="32"/>
          <w:szCs w:val="32"/>
        </w:rPr>
        <w:t>公务用车购置及运行维护</w:t>
      </w:r>
      <w:r>
        <w:rPr>
          <w:rFonts w:ascii="仿宋_GB2312" w:eastAsia="仿宋_GB2312"/>
          <w:b w:val="0"/>
          <w:color w:val="auto"/>
          <w:sz w:val="32"/>
          <w:szCs w:val="32"/>
        </w:rPr>
        <w:t>经费预算，与上年支出</w:t>
      </w:r>
      <w:r>
        <w:rPr>
          <w:rFonts w:hint="eastAsia" w:ascii="仿宋_GB2312" w:eastAsia="仿宋_GB2312"/>
          <w:b w:val="0"/>
          <w:color w:val="auto"/>
          <w:sz w:val="32"/>
          <w:szCs w:val="32"/>
          <w:lang w:val="en-US" w:eastAsia="zh-CN"/>
        </w:rPr>
        <w:t>一致</w:t>
      </w:r>
      <w:r>
        <w:rPr>
          <w:rFonts w:hint="eastAsia" w:ascii="仿宋_GB2312" w:hAnsi="Times New Roman" w:eastAsia="仿宋_GB2312" w:cs="Times New Roman"/>
          <w:sz w:val="32"/>
          <w:szCs w:val="32"/>
        </w:rPr>
        <w:t>；公务接待费支出0.48万元，占3.43%，</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hAnsi="Times New Roman" w:eastAsia="仿宋_GB2312" w:cs="Times New Roman"/>
          <w:sz w:val="32"/>
          <w:szCs w:val="32"/>
        </w:rPr>
        <w:t>，主要原因是：</w:t>
      </w:r>
      <w:r>
        <w:rPr>
          <w:rFonts w:ascii="仿宋_GB2312" w:eastAsia="仿宋_GB2312"/>
          <w:b w:val="0"/>
          <w:color w:val="auto"/>
          <w:sz w:val="32"/>
          <w:szCs w:val="32"/>
        </w:rPr>
        <w:t>严格执行</w:t>
      </w:r>
      <w:r>
        <w:rPr>
          <w:rFonts w:hint="eastAsia" w:ascii="仿宋_GB2312" w:hAnsi="Times New Roman" w:eastAsia="仿宋_GB2312" w:cs="Times New Roman"/>
          <w:sz w:val="32"/>
          <w:szCs w:val="32"/>
        </w:rPr>
        <w:t>公务接待</w:t>
      </w:r>
      <w:r>
        <w:rPr>
          <w:rFonts w:ascii="仿宋_GB2312" w:eastAsia="仿宋_GB2312"/>
          <w:b w:val="0"/>
          <w:color w:val="auto"/>
          <w:sz w:val="32"/>
          <w:szCs w:val="32"/>
        </w:rPr>
        <w:t>经费预算，与上年支出</w:t>
      </w:r>
      <w:r>
        <w:rPr>
          <w:rFonts w:hint="eastAsia" w:ascii="仿宋_GB2312" w:eastAsia="仿宋_GB2312"/>
          <w:b w:val="0"/>
          <w:color w:val="auto"/>
          <w:sz w:val="32"/>
          <w:szCs w:val="32"/>
          <w:lang w:val="en-US" w:eastAsia="zh-CN"/>
        </w:rPr>
        <w:t>一致</w:t>
      </w:r>
      <w:r>
        <w:rPr>
          <w:rFonts w:hint="eastAsia" w:ascii="仿宋_GB2312" w:hAnsi="Times New Roman" w:eastAsia="仿宋_GB2312" w:cs="Times New Roman"/>
          <w:sz w:val="32"/>
          <w:szCs w:val="32"/>
        </w:rPr>
        <w:t>。</w:t>
      </w:r>
    </w:p>
    <w:p>
      <w:pPr>
        <w:keepNext w:val="0"/>
        <w:keepLines w:val="0"/>
        <w:pageBreakBefore w:val="0"/>
        <w:shd w:val="clear"/>
        <w:kinsoku/>
        <w:overflowPunct/>
        <w:topLinePunct w:val="0"/>
        <w:bidi w:val="0"/>
        <w:adjustRightInd/>
        <w:snapToGrid/>
        <w:spacing w:line="560" w:lineRule="exact"/>
        <w:ind w:firstLine="642" w:firstLineChars="200"/>
        <w:textAlignment w:val="auto"/>
        <w:rPr>
          <w:rFonts w:ascii="仿宋_GB2312" w:eastAsia="仿宋_GB2312"/>
          <w:b/>
          <w:bCs/>
          <w:sz w:val="32"/>
          <w:szCs w:val="32"/>
        </w:rPr>
      </w:pPr>
      <w:r>
        <w:rPr>
          <w:rFonts w:hint="eastAsia" w:ascii="仿宋_GB2312" w:eastAsia="仿宋_GB2312"/>
          <w:b/>
          <w:bCs/>
          <w:sz w:val="32"/>
          <w:szCs w:val="32"/>
        </w:rPr>
        <w:t>具体情况如下：</w:t>
      </w:r>
    </w:p>
    <w:p>
      <w:pPr>
        <w:keepNext w:val="0"/>
        <w:keepLines w:val="0"/>
        <w:pageBreakBefore w:val="0"/>
        <w:widowControl/>
        <w:shd w:val="clear" w:color="auto"/>
        <w:kinsoku/>
        <w:wordWrap w:val="0"/>
        <w:overflowPunct/>
        <w:topLinePunct w:val="0"/>
        <w:bidi w:val="0"/>
        <w:adjustRightInd/>
        <w:snapToGrid/>
        <w:spacing w:line="560" w:lineRule="exact"/>
        <w:ind w:firstLine="703"/>
        <w:textAlignment w:val="auto"/>
        <w:rPr>
          <w:rFonts w:ascii="仿宋_GB2312" w:eastAsia="仿宋_GB2312"/>
          <w:sz w:val="32"/>
          <w:szCs w:val="32"/>
        </w:rPr>
      </w:pPr>
      <w:r>
        <w:rPr>
          <w:rFonts w:hint="eastAsia" w:ascii="仿宋_GB2312" w:eastAsia="仿宋_GB2312"/>
          <w:sz w:val="32"/>
          <w:szCs w:val="32"/>
        </w:rPr>
        <w:t>因公出国（境）费支出0万元，开支内容包括</w:t>
      </w:r>
      <w:r>
        <w:rPr>
          <w:rFonts w:hint="eastAsia" w:ascii="仿宋_GB2312" w:eastAsia="仿宋_GB2312"/>
          <w:sz w:val="32"/>
          <w:szCs w:val="32"/>
          <w:lang w:eastAsia="zh-CN"/>
        </w:rPr>
        <w:t>：</w:t>
      </w:r>
      <w:r>
        <w:rPr>
          <w:rFonts w:hint="eastAsia" w:ascii="仿宋_GB2312" w:eastAsia="仿宋_GB2312"/>
          <w:sz w:val="32"/>
          <w:szCs w:val="32"/>
        </w:rPr>
        <w:t>本年无因公出国（境）费用。单位全年安排的因公出国（境）团组0个，因公出国（境）0人次。</w:t>
      </w:r>
    </w:p>
    <w:p>
      <w:pPr>
        <w:keepNext w:val="0"/>
        <w:keepLines w:val="0"/>
        <w:pageBreakBefore w:val="0"/>
        <w:widowControl/>
        <w:shd w:val="clear" w:color="auto"/>
        <w:kinsoku/>
        <w:wordWrap w:val="0"/>
        <w:overflowPunct/>
        <w:topLinePunct w:val="0"/>
        <w:bidi w:val="0"/>
        <w:adjustRightInd/>
        <w:snapToGrid/>
        <w:spacing w:line="560" w:lineRule="exact"/>
        <w:ind w:firstLine="703"/>
        <w:textAlignment w:val="auto"/>
        <w:rPr>
          <w:rFonts w:hint="eastAsia" w:ascii="仿宋_GB2312" w:eastAsia="仿宋_GB2312"/>
          <w:sz w:val="32"/>
          <w:szCs w:val="32"/>
        </w:rPr>
      </w:pPr>
      <w:r>
        <w:rPr>
          <w:rFonts w:hint="eastAsia" w:ascii="仿宋_GB2312" w:eastAsia="仿宋_GB2312"/>
          <w:sz w:val="32"/>
          <w:szCs w:val="32"/>
        </w:rPr>
        <w:t>公务用车购置及运行维护费13.51万元，其中：公务用车购置费0万元，公务用车运行维护费13.51万元。公务用车运行维护费开支内容包括</w:t>
      </w:r>
      <w:r>
        <w:rPr>
          <w:rFonts w:hint="eastAsia" w:ascii="仿宋_GB2312" w:eastAsia="仿宋_GB2312"/>
          <w:sz w:val="32"/>
          <w:szCs w:val="32"/>
          <w:lang w:eastAsia="zh-CN"/>
        </w:rPr>
        <w:t>：</w:t>
      </w:r>
      <w:r>
        <w:rPr>
          <w:rFonts w:hint="eastAsia" w:ascii="仿宋_GB2312" w:eastAsia="仿宋_GB2312"/>
          <w:sz w:val="32"/>
          <w:szCs w:val="32"/>
        </w:rPr>
        <w:t>车辆维修维护费、车辆加油费、车辆保险、车辆检测及停车过路费。公务用车购置数0辆，公务用车保有量5辆。国有资产占用情况中固定资产车辆7辆，与公务用车保有量差异原因是：其中2辆车已报废，正在办理核销流程。</w:t>
      </w:r>
    </w:p>
    <w:p>
      <w:pPr>
        <w:keepNext w:val="0"/>
        <w:keepLines w:val="0"/>
        <w:pageBreakBefore w:val="0"/>
        <w:widowControl/>
        <w:shd w:val="clear" w:color="auto"/>
        <w:kinsoku/>
        <w:wordWrap w:val="0"/>
        <w:overflowPunct/>
        <w:topLinePunct w:val="0"/>
        <w:bidi w:val="0"/>
        <w:adjustRightInd/>
        <w:snapToGrid/>
        <w:spacing w:line="560" w:lineRule="exact"/>
        <w:ind w:firstLine="703"/>
        <w:textAlignment w:val="auto"/>
        <w:rPr>
          <w:rFonts w:ascii="仿宋_GB2312" w:eastAsia="仿宋_GB2312"/>
          <w:sz w:val="32"/>
          <w:szCs w:val="32"/>
        </w:rPr>
      </w:pPr>
      <w:r>
        <w:rPr>
          <w:rFonts w:hint="eastAsia" w:ascii="仿宋_GB2312" w:eastAsia="仿宋_GB2312"/>
          <w:sz w:val="32"/>
          <w:szCs w:val="32"/>
        </w:rPr>
        <w:t>公务接待费0.48万元，开支内容包括</w:t>
      </w:r>
      <w:r>
        <w:rPr>
          <w:rFonts w:hint="eastAsia" w:ascii="仿宋_GB2312" w:eastAsia="仿宋_GB2312"/>
          <w:sz w:val="32"/>
          <w:szCs w:val="32"/>
          <w:lang w:eastAsia="zh-CN"/>
        </w:rPr>
        <w:t>：</w:t>
      </w:r>
      <w:r>
        <w:rPr>
          <w:rFonts w:hint="eastAsia" w:ascii="仿宋_GB2312" w:eastAsia="仿宋_GB2312"/>
          <w:sz w:val="32"/>
          <w:szCs w:val="32"/>
        </w:rPr>
        <w:t>接待餐费。单位全年安排的国内公务接待7批次，53人次。</w:t>
      </w:r>
    </w:p>
    <w:p>
      <w:pPr>
        <w:keepNext w:val="0"/>
        <w:keepLines w:val="0"/>
        <w:pageBreakBefore w:val="0"/>
        <w:widowControl/>
        <w:shd w:val="clear" w:color="auto"/>
        <w:kinsoku/>
        <w:wordWrap w:val="0"/>
        <w:overflowPunct/>
        <w:topLinePunct w:val="0"/>
        <w:bidi w:val="0"/>
        <w:adjustRightInd/>
        <w:snapToGrid/>
        <w:spacing w:line="560" w:lineRule="exact"/>
        <w:ind w:firstLine="703"/>
        <w:jc w:val="both"/>
        <w:textAlignment w:val="auto"/>
        <w:rPr>
          <w:rFonts w:ascii="仿宋_GB2312" w:eastAsia="仿宋_GB2312"/>
          <w:sz w:val="32"/>
          <w:szCs w:val="32"/>
        </w:rPr>
      </w:pPr>
      <w:r>
        <w:rPr>
          <w:rFonts w:hint="eastAsia" w:ascii="仿宋_GB2312" w:eastAsia="仿宋_GB2312"/>
          <w:b/>
          <w:bCs/>
          <w:sz w:val="32"/>
          <w:szCs w:val="32"/>
        </w:rPr>
        <w:t>与全年预算相比，</w:t>
      </w:r>
      <w:r>
        <w:rPr>
          <w:rFonts w:hint="eastAsia" w:ascii="仿宋_GB2312" w:eastAsia="仿宋_GB2312"/>
          <w:sz w:val="32"/>
          <w:szCs w:val="32"/>
        </w:rPr>
        <w:t>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hint="eastAsia" w:ascii="仿宋_GB2312" w:eastAsia="仿宋_GB2312"/>
          <w:sz w:val="32"/>
          <w:szCs w:val="32"/>
        </w:rPr>
        <w:t>经费支出全年预算数13.99万元，决算数13.99万元，预决算差异率0%，主要原因是：</w:t>
      </w:r>
      <w:r>
        <w:rPr>
          <w:rFonts w:ascii="仿宋_GB2312" w:eastAsia="仿宋_GB2312"/>
          <w:b w:val="0"/>
          <w:sz w:val="32"/>
          <w:szCs w:val="32"/>
        </w:rPr>
        <w:t>严格执行</w:t>
      </w:r>
      <w:r>
        <w:rPr>
          <w:rFonts w:hint="eastAsia" w:ascii="仿宋_GB2312" w:eastAsia="仿宋_GB2312"/>
          <w:b w:val="0"/>
          <w:sz w:val="32"/>
          <w:szCs w:val="32"/>
          <w:lang w:eastAsia="zh-CN"/>
        </w:rPr>
        <w:t>“</w:t>
      </w:r>
      <w:r>
        <w:rPr>
          <w:rFonts w:ascii="仿宋_GB2312" w:eastAsia="仿宋_GB2312"/>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经费预算，本年支出与预算保持</w:t>
      </w:r>
      <w:r>
        <w:rPr>
          <w:rFonts w:hint="eastAsia" w:ascii="仿宋_GB2312" w:eastAsia="仿宋_GB2312"/>
          <w:b w:val="0"/>
          <w:sz w:val="32"/>
          <w:szCs w:val="32"/>
          <w:lang w:val="en-US" w:eastAsia="zh-CN"/>
        </w:rPr>
        <w:t>一致</w:t>
      </w:r>
      <w:r>
        <w:rPr>
          <w:rFonts w:ascii="仿宋_GB2312" w:eastAsia="仿宋_GB2312"/>
          <w:color w:val="auto"/>
          <w:sz w:val="32"/>
          <w:szCs w:val="32"/>
        </w:rPr>
        <w:t>。</w:t>
      </w:r>
      <w:r>
        <w:rPr>
          <w:rFonts w:hint="eastAsia" w:ascii="仿宋_GB2312" w:eastAsia="仿宋_GB2312"/>
          <w:sz w:val="32"/>
          <w:szCs w:val="32"/>
        </w:rPr>
        <w:t>其中：因公出国（境）费全年预算数0万元，决算数0万元，预决算差异率0%，主要原因是：</w:t>
      </w:r>
      <w:r>
        <w:rPr>
          <w:rFonts w:hint="eastAsia" w:ascii="仿宋_GB2312" w:eastAsia="仿宋_GB2312"/>
          <w:sz w:val="32"/>
          <w:szCs w:val="32"/>
          <w:lang w:eastAsia="zh-CN"/>
        </w:rPr>
        <w:t>本年度</w:t>
      </w:r>
      <w:r>
        <w:rPr>
          <w:rFonts w:ascii="仿宋_GB2312" w:eastAsia="仿宋_GB2312"/>
          <w:b w:val="0"/>
          <w:sz w:val="32"/>
          <w:szCs w:val="32"/>
        </w:rPr>
        <w:t>预</w:t>
      </w:r>
      <w:r>
        <w:rPr>
          <w:rFonts w:hint="eastAsia" w:ascii="仿宋_GB2312" w:eastAsia="仿宋_GB2312"/>
          <w:b w:val="0"/>
          <w:sz w:val="32"/>
          <w:szCs w:val="32"/>
          <w:lang w:val="en-US" w:eastAsia="zh-CN"/>
        </w:rPr>
        <w:t>决算均</w:t>
      </w:r>
      <w:r>
        <w:rPr>
          <w:rFonts w:hint="eastAsia" w:ascii="仿宋_GB2312" w:eastAsia="仿宋_GB2312"/>
          <w:sz w:val="32"/>
          <w:szCs w:val="32"/>
          <w:lang w:eastAsia="zh-CN"/>
        </w:rPr>
        <w:t>未安排</w:t>
      </w:r>
      <w:r>
        <w:rPr>
          <w:rFonts w:hint="eastAsia" w:ascii="仿宋_GB2312" w:eastAsia="仿宋_GB2312"/>
          <w:sz w:val="32"/>
          <w:szCs w:val="32"/>
        </w:rPr>
        <w:t>因公出国（境）</w:t>
      </w:r>
      <w:r>
        <w:rPr>
          <w:rFonts w:hint="eastAsia" w:ascii="仿宋_GB2312" w:eastAsia="仿宋_GB2312"/>
          <w:sz w:val="32"/>
          <w:szCs w:val="32"/>
          <w:lang w:val="en-US" w:eastAsia="zh-CN"/>
        </w:rPr>
        <w:t>费</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因此无差异；</w:t>
      </w:r>
      <w:r>
        <w:rPr>
          <w:rFonts w:hint="eastAsia" w:ascii="仿宋_GB2312" w:eastAsia="仿宋_GB2312"/>
          <w:sz w:val="32"/>
          <w:szCs w:val="32"/>
        </w:rPr>
        <w:t>公务用车购置费全年预算数0万元，决算数0万元，预决算差异率0%，主要原因是：</w:t>
      </w:r>
      <w:r>
        <w:rPr>
          <w:rFonts w:hint="eastAsia" w:ascii="仿宋_GB2312" w:eastAsia="仿宋_GB2312"/>
          <w:sz w:val="32"/>
          <w:szCs w:val="32"/>
          <w:lang w:eastAsia="zh-CN"/>
        </w:rPr>
        <w:t>本年度</w:t>
      </w:r>
      <w:r>
        <w:rPr>
          <w:rFonts w:ascii="仿宋_GB2312" w:eastAsia="仿宋_GB2312"/>
          <w:b w:val="0"/>
          <w:sz w:val="32"/>
          <w:szCs w:val="32"/>
        </w:rPr>
        <w:t>预</w:t>
      </w:r>
      <w:r>
        <w:rPr>
          <w:rFonts w:hint="eastAsia" w:ascii="仿宋_GB2312" w:eastAsia="仿宋_GB2312"/>
          <w:b w:val="0"/>
          <w:sz w:val="32"/>
          <w:szCs w:val="32"/>
          <w:lang w:val="en-US" w:eastAsia="zh-CN"/>
        </w:rPr>
        <w:t>决算均</w:t>
      </w:r>
      <w:r>
        <w:rPr>
          <w:rFonts w:ascii="仿宋_GB2312" w:eastAsia="仿宋_GB2312"/>
          <w:b w:val="0"/>
          <w:sz w:val="32"/>
          <w:szCs w:val="32"/>
        </w:rPr>
        <w:t>未安排公务用车购置费</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因此无差异；</w:t>
      </w:r>
      <w:r>
        <w:rPr>
          <w:rFonts w:hint="eastAsia" w:ascii="仿宋_GB2312" w:eastAsia="仿宋_GB2312"/>
          <w:sz w:val="32"/>
          <w:szCs w:val="32"/>
        </w:rPr>
        <w:t>公务用车运行</w:t>
      </w:r>
      <w:r>
        <w:rPr>
          <w:rFonts w:hint="eastAsia" w:ascii="仿宋_GB2312" w:eastAsia="仿宋_GB2312"/>
          <w:sz w:val="32"/>
          <w:szCs w:val="32"/>
          <w:lang w:val="en-US" w:eastAsia="zh-CN"/>
        </w:rPr>
        <w:t>维护</w:t>
      </w:r>
      <w:r>
        <w:rPr>
          <w:rFonts w:hint="eastAsia" w:ascii="仿宋_GB2312" w:eastAsia="仿宋_GB2312"/>
          <w:sz w:val="32"/>
          <w:szCs w:val="32"/>
        </w:rPr>
        <w:t>费全年预算数13.51万元，决算数13.51万元，预决算差异率0%，主要原因是：</w:t>
      </w:r>
      <w:r>
        <w:rPr>
          <w:rFonts w:ascii="仿宋_GB2312" w:eastAsia="仿宋_GB2312"/>
          <w:b w:val="0"/>
          <w:sz w:val="32"/>
          <w:szCs w:val="32"/>
        </w:rPr>
        <w:t>严格执行</w:t>
      </w:r>
      <w:r>
        <w:rPr>
          <w:rFonts w:hint="eastAsia" w:ascii="仿宋_GB2312" w:eastAsia="仿宋_GB2312"/>
          <w:sz w:val="32"/>
          <w:szCs w:val="32"/>
        </w:rPr>
        <w:t>公务用车运行</w:t>
      </w:r>
      <w:r>
        <w:rPr>
          <w:rFonts w:hint="eastAsia" w:ascii="仿宋_GB2312" w:eastAsia="仿宋_GB2312"/>
          <w:sz w:val="32"/>
          <w:szCs w:val="32"/>
          <w:lang w:val="en-US" w:eastAsia="zh-CN"/>
        </w:rPr>
        <w:t>维护</w:t>
      </w:r>
      <w:r>
        <w:rPr>
          <w:rFonts w:hint="eastAsia" w:ascii="仿宋_GB2312" w:eastAsia="仿宋_GB2312"/>
          <w:sz w:val="32"/>
          <w:szCs w:val="32"/>
        </w:rPr>
        <w:t>费</w:t>
      </w:r>
      <w:r>
        <w:rPr>
          <w:rFonts w:ascii="仿宋_GB2312" w:eastAsia="仿宋_GB2312"/>
          <w:b w:val="0"/>
          <w:sz w:val="32"/>
          <w:szCs w:val="32"/>
        </w:rPr>
        <w:t>预算，本年支出与预算保持</w:t>
      </w:r>
      <w:r>
        <w:rPr>
          <w:rFonts w:hint="eastAsia" w:ascii="仿宋_GB2312" w:eastAsia="仿宋_GB2312"/>
          <w:b w:val="0"/>
          <w:sz w:val="32"/>
          <w:szCs w:val="32"/>
          <w:lang w:val="en-US" w:eastAsia="zh-CN"/>
        </w:rPr>
        <w:t>一致；</w:t>
      </w:r>
      <w:r>
        <w:rPr>
          <w:rFonts w:hint="eastAsia" w:ascii="仿宋_GB2312" w:eastAsia="仿宋_GB2312"/>
          <w:sz w:val="32"/>
          <w:szCs w:val="32"/>
        </w:rPr>
        <w:t>公务接待费全年预算数0.48万元，决算数0.48万元，预决算差异率0%，主要原因是：</w:t>
      </w:r>
      <w:r>
        <w:rPr>
          <w:rFonts w:ascii="仿宋_GB2312" w:eastAsia="仿宋_GB2312"/>
          <w:b w:val="0"/>
          <w:sz w:val="32"/>
          <w:szCs w:val="32"/>
        </w:rPr>
        <w:t>严格执行</w:t>
      </w:r>
      <w:r>
        <w:rPr>
          <w:rFonts w:hint="eastAsia" w:ascii="仿宋_GB2312" w:eastAsia="仿宋_GB2312"/>
          <w:sz w:val="32"/>
          <w:szCs w:val="32"/>
        </w:rPr>
        <w:t>公务接待费</w:t>
      </w:r>
      <w:r>
        <w:rPr>
          <w:rFonts w:ascii="仿宋_GB2312" w:eastAsia="仿宋_GB2312"/>
          <w:b w:val="0"/>
          <w:sz w:val="32"/>
          <w:szCs w:val="32"/>
        </w:rPr>
        <w:t>预算，本年支出与预算保持</w:t>
      </w:r>
      <w:r>
        <w:rPr>
          <w:rFonts w:hint="eastAsia" w:ascii="仿宋_GB2312" w:eastAsia="仿宋_GB2312"/>
          <w:b w:val="0"/>
          <w:sz w:val="32"/>
          <w:szCs w:val="32"/>
          <w:lang w:val="en-US" w:eastAsia="zh-CN"/>
        </w:rPr>
        <w:t>一致</w:t>
      </w:r>
      <w:r>
        <w:rPr>
          <w:rFonts w:ascii="仿宋_GB2312" w:eastAsia="仿宋_GB2312"/>
          <w:color w:val="auto"/>
          <w:sz w:val="32"/>
          <w:szCs w:val="32"/>
        </w:rPr>
        <w:t>。</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28" w:name="_Toc16395"/>
      <w:bookmarkStart w:id="29" w:name="_Toc7314"/>
      <w:r>
        <w:rPr>
          <w:rFonts w:hint="eastAsia" w:ascii="黑体" w:hAnsi="黑体" w:eastAsia="黑体" w:cs="宋体"/>
          <w:bCs/>
          <w:kern w:val="0"/>
          <w:sz w:val="32"/>
          <w:szCs w:val="32"/>
        </w:rPr>
        <w:t>十、其他重要事项的情况说明</w:t>
      </w:r>
      <w:bookmarkEnd w:id="28"/>
      <w:bookmarkEnd w:id="29"/>
    </w:p>
    <w:p>
      <w:pPr>
        <w:keepNext w:val="0"/>
        <w:keepLines w:val="0"/>
        <w:pageBreakBefore w:val="0"/>
        <w:shd w:val="clear"/>
        <w:kinsoku/>
        <w:overflowPunct/>
        <w:topLinePunct w:val="0"/>
        <w:bidi w:val="0"/>
        <w:adjustRightInd/>
        <w:snapToGrid/>
        <w:spacing w:line="560" w:lineRule="exact"/>
        <w:ind w:firstLine="640" w:firstLineChars="200"/>
        <w:textAlignment w:val="auto"/>
        <w:outlineLvl w:val="2"/>
        <w:rPr>
          <w:rFonts w:ascii="黑体" w:hAnsi="黑体" w:eastAsia="黑体"/>
          <w:sz w:val="32"/>
          <w:szCs w:val="32"/>
        </w:rPr>
      </w:pPr>
      <w:bookmarkStart w:id="30" w:name="_Toc13105"/>
      <w:bookmarkStart w:id="31" w:name="_Toc21748"/>
      <w:r>
        <w:rPr>
          <w:rFonts w:hint="eastAsia" w:ascii="黑体" w:hAnsi="黑体" w:eastAsia="黑体"/>
          <w:sz w:val="32"/>
          <w:szCs w:val="32"/>
        </w:rPr>
        <w:t>（一）机关运行经费及公用经费支出情况</w:t>
      </w:r>
      <w:bookmarkEnd w:id="30"/>
      <w:bookmarkEnd w:id="31"/>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2024年度新疆维吾尔自治区图书馆（新疆维吾尔自治区古籍保护中心）</w:t>
      </w:r>
      <w:bookmarkStart w:id="59" w:name="_GoBack"/>
      <w:bookmarkEnd w:id="59"/>
      <w:r>
        <w:rPr>
          <w:rFonts w:hint="eastAsia" w:ascii="仿宋_GB2312" w:eastAsia="仿宋_GB2312"/>
          <w:sz w:val="32"/>
          <w:szCs w:val="32"/>
        </w:rPr>
        <w:t>公用经费支出839.68万元，比上年减少0.44万元，下降0.05%，主要原因是：</w:t>
      </w:r>
      <w:r>
        <w:rPr>
          <w:rFonts w:ascii="仿宋_GB2312" w:eastAsia="仿宋_GB2312"/>
          <w:sz w:val="32"/>
          <w:szCs w:val="32"/>
        </w:rPr>
        <w:t>本年人员</w:t>
      </w:r>
      <w:r>
        <w:rPr>
          <w:rFonts w:hint="eastAsia" w:ascii="仿宋_GB2312" w:eastAsia="仿宋_GB2312"/>
          <w:sz w:val="32"/>
          <w:szCs w:val="32"/>
          <w:lang w:val="en-US" w:eastAsia="zh-CN"/>
        </w:rPr>
        <w:t>减少</w:t>
      </w:r>
      <w:r>
        <w:rPr>
          <w:rFonts w:hint="eastAsia" w:ascii="仿宋_GB2312" w:eastAsia="仿宋_GB2312"/>
          <w:sz w:val="32"/>
          <w:szCs w:val="32"/>
          <w:lang w:eastAsia="zh-CN"/>
        </w:rPr>
        <w:t>，</w:t>
      </w:r>
      <w:r>
        <w:rPr>
          <w:rFonts w:ascii="仿宋_GB2312" w:eastAsia="仿宋_GB2312"/>
          <w:sz w:val="32"/>
          <w:szCs w:val="32"/>
        </w:rPr>
        <w:t>公用经费相应</w:t>
      </w:r>
      <w:r>
        <w:rPr>
          <w:rFonts w:hint="eastAsia" w:ascii="仿宋_GB2312" w:eastAsia="仿宋_GB2312"/>
          <w:sz w:val="32"/>
          <w:szCs w:val="32"/>
          <w:lang w:val="en-US" w:eastAsia="zh-CN"/>
        </w:rPr>
        <w:t>减少</w:t>
      </w:r>
      <w:r>
        <w:rPr>
          <w:rFonts w:ascii="仿宋_GB2312" w:eastAsia="仿宋_GB2312"/>
          <w:sz w:val="32"/>
          <w:szCs w:val="32"/>
        </w:rPr>
        <w:t>。</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2"/>
        <w:rPr>
          <w:rFonts w:ascii="黑体" w:hAnsi="黑体" w:eastAsia="黑体"/>
          <w:sz w:val="32"/>
          <w:szCs w:val="32"/>
        </w:rPr>
      </w:pPr>
      <w:bookmarkStart w:id="32" w:name="_Toc26704"/>
      <w:bookmarkStart w:id="33" w:name="_Toc25177"/>
      <w:r>
        <w:rPr>
          <w:rFonts w:hint="eastAsia" w:ascii="黑体" w:hAnsi="黑体" w:eastAsia="黑体"/>
          <w:sz w:val="32"/>
          <w:szCs w:val="32"/>
        </w:rPr>
        <w:t>（二）政府采购情况</w:t>
      </w:r>
      <w:bookmarkEnd w:id="32"/>
      <w:bookmarkEnd w:id="33"/>
    </w:p>
    <w:p>
      <w:pPr>
        <w:keepNext w:val="0"/>
        <w:keepLines w:val="0"/>
        <w:pageBreakBefore w:val="0"/>
        <w:shd w:val="clear"/>
        <w:kinsoku/>
        <w:overflowPunct/>
        <w:topLinePunct w:val="0"/>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2024年度政府采购支出总额2,997.23万元，其中：政府采购货物支出1,066.91万元、政府采购工程支出0万元、政府采购服务支出1,930.32万元。</w:t>
      </w:r>
    </w:p>
    <w:p>
      <w:pPr>
        <w:keepNext w:val="0"/>
        <w:keepLines w:val="0"/>
        <w:pageBreakBefore w:val="0"/>
        <w:shd w:val="clear"/>
        <w:kinsoku/>
        <w:overflowPunct/>
        <w:topLinePunct w:val="0"/>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授予中小企业合同金额2,079.13万元，占政府采购支出总额的69.37%，其中：授予小微企业合同金额1,599.61万元，占政府采购支出总额的53.37%。</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2"/>
        <w:rPr>
          <w:rFonts w:ascii="黑体" w:hAnsi="黑体" w:eastAsia="黑体"/>
          <w:sz w:val="32"/>
          <w:szCs w:val="32"/>
        </w:rPr>
      </w:pPr>
      <w:bookmarkStart w:id="34" w:name="_Toc31294"/>
      <w:bookmarkStart w:id="35" w:name="_Toc4591"/>
      <w:r>
        <w:rPr>
          <w:rFonts w:hint="eastAsia" w:ascii="黑体" w:hAnsi="黑体" w:eastAsia="黑体"/>
          <w:sz w:val="32"/>
          <w:szCs w:val="32"/>
        </w:rPr>
        <w:t>（三）国有资产占用情况说明</w:t>
      </w:r>
      <w:bookmarkEnd w:id="34"/>
      <w:bookmarkEnd w:id="35"/>
    </w:p>
    <w:p>
      <w:pPr>
        <w:keepNext w:val="0"/>
        <w:keepLines w:val="0"/>
        <w:pageBreakBefore w:val="0"/>
        <w:widowControl/>
        <w:shd w:val="clear" w:color="auto"/>
        <w:kinsoku/>
        <w:wordWrap w:val="0"/>
        <w:overflowPunct/>
        <w:topLinePunct w:val="0"/>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截至2024年12月31日，房屋58,943.6平方米，价值37,831.53万元。车辆7辆，价值202.66万元，其中：副部（省）级及以上领导用车0辆、主要负责人用车0辆、机要通信用车0辆、应急保障用车0辆、执法执勤用车0辆、特种专业技术用车0辆、离退休干部服务用车0辆、其他用车7辆，其他用车主要是：一般公务用车</w:t>
      </w:r>
      <w:r>
        <w:rPr>
          <w:rFonts w:hint="eastAsia" w:ascii="仿宋_GB2312" w:eastAsia="仿宋_GB2312"/>
          <w:sz w:val="32"/>
          <w:szCs w:val="32"/>
          <w:lang w:eastAsia="zh-CN"/>
        </w:rPr>
        <w:t>。</w:t>
      </w:r>
      <w:r>
        <w:rPr>
          <w:rFonts w:hint="eastAsia" w:ascii="仿宋_GB2312" w:eastAsia="仿宋_GB2312"/>
          <w:sz w:val="32"/>
          <w:szCs w:val="32"/>
        </w:rPr>
        <w:t>单价100万元（含）以上设备（不含车辆）0台（套）。</w:t>
      </w: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黑体" w:hAnsi="黑体" w:eastAsia="黑体" w:cs="宋体"/>
          <w:bCs/>
          <w:kern w:val="0"/>
          <w:sz w:val="32"/>
          <w:szCs w:val="32"/>
        </w:rPr>
      </w:pPr>
      <w:bookmarkStart w:id="36" w:name="_Toc435"/>
      <w:bookmarkStart w:id="37" w:name="_Toc17664"/>
      <w:r>
        <w:rPr>
          <w:rFonts w:hint="eastAsia" w:ascii="黑体" w:hAnsi="黑体" w:eastAsia="黑体" w:cs="宋体"/>
          <w:bCs/>
          <w:kern w:val="0"/>
          <w:sz w:val="32"/>
          <w:szCs w:val="32"/>
        </w:rPr>
        <w:t>十一、预算绩效的情况说明</w:t>
      </w:r>
      <w:bookmarkEnd w:id="36"/>
      <w:bookmarkEnd w:id="37"/>
    </w:p>
    <w:p>
      <w:pPr>
        <w:keepNext w:val="0"/>
        <w:keepLines w:val="0"/>
        <w:pageBreakBefore w:val="0"/>
        <w:widowControl/>
        <w:shd w:val="clear"/>
        <w:kinsoku/>
        <w:wordWrap w:val="0"/>
        <w:overflowPunct/>
        <w:topLinePunct w:val="0"/>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根据预算绩效管理要求，本单位2024年度预算绩效评价项目5个，全年预算数1858万元，全年执行数1858万元。预算绩效管理取得的成效：一是本单位项目全面纳入预算绩效管理，项目实施期间严格按照预算方案执行，根据项目资金用途做到专款专用；确保了项目实施质量和资金使用效益；二是2024年度项目实施总体完成情况好，保证了图书馆各项业务工作的正常开展，完成了既定绩效目标任务</w:t>
      </w:r>
      <w:r>
        <w:rPr>
          <w:rFonts w:hint="eastAsia" w:ascii="仿宋_GB2312" w:eastAsia="仿宋_GB2312"/>
          <w:sz w:val="32"/>
          <w:szCs w:val="32"/>
          <w:lang w:eastAsia="zh-CN"/>
        </w:rPr>
        <w:t>。</w:t>
      </w:r>
      <w:r>
        <w:rPr>
          <w:rFonts w:hint="eastAsia" w:ascii="仿宋_GB2312" w:eastAsia="仿宋_GB2312"/>
          <w:sz w:val="32"/>
          <w:szCs w:val="32"/>
        </w:rPr>
        <w:t>发现的问题及原因：一是年中追加项目多为政府采购项目，存在采购流程周期较长，项目实施及验收周期延后；二是绩效评价结果运用有待加强，预算绩效管理水平需要不断提升</w:t>
      </w:r>
      <w:r>
        <w:rPr>
          <w:rFonts w:hint="eastAsia" w:ascii="仿宋_GB2312" w:eastAsia="仿宋_GB2312"/>
          <w:sz w:val="32"/>
          <w:szCs w:val="32"/>
          <w:lang w:eastAsia="zh-CN"/>
        </w:rPr>
        <w:t>。</w:t>
      </w:r>
      <w:r>
        <w:rPr>
          <w:rFonts w:hint="eastAsia" w:ascii="仿宋_GB2312" w:eastAsia="仿宋_GB2312"/>
          <w:sz w:val="32"/>
          <w:szCs w:val="32"/>
        </w:rPr>
        <w:t>下一步改进措施：一是完善预算绩效管理体系建设，加强绩效管理，加快项目开展及预算执行进度，及时完成项目实施及资金支付，实现预定绩效目标；二是加强绩效评价结果运用，持续提升预算绩效管理水平。具体附项目支出绩效自评表（见附</w:t>
      </w:r>
      <w:r>
        <w:rPr>
          <w:rFonts w:hint="eastAsia" w:ascii="仿宋_GB2312" w:eastAsia="仿宋_GB2312"/>
          <w:sz w:val="32"/>
          <w:szCs w:val="32"/>
          <w:lang w:val="en-US" w:eastAsia="zh-CN"/>
        </w:rPr>
        <w:t>件2</w:t>
      </w:r>
      <w:r>
        <w:rPr>
          <w:rFonts w:hint="eastAsia" w:ascii="仿宋_GB2312" w:eastAsia="仿宋_GB2312"/>
          <w:sz w:val="32"/>
          <w:szCs w:val="32"/>
        </w:rPr>
        <w:t>）。</w:t>
      </w:r>
    </w:p>
    <w:p>
      <w:pPr>
        <w:keepNext w:val="0"/>
        <w:keepLines w:val="0"/>
        <w:pageBreakBefore w:val="0"/>
        <w:shd w:val="clear"/>
        <w:kinsoku/>
        <w:overflowPunct/>
        <w:topLinePunct w:val="0"/>
        <w:bidi w:val="0"/>
        <w:adjustRightInd/>
        <w:snapToGrid/>
        <w:spacing w:line="560" w:lineRule="exact"/>
        <w:ind w:firstLine="640" w:firstLineChars="200"/>
        <w:textAlignment w:val="auto"/>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keepNext w:val="0"/>
        <w:keepLines w:val="0"/>
        <w:pageBreakBefore w:val="0"/>
        <w:shd w:val="clear"/>
        <w:kinsoku/>
        <w:overflowPunct/>
        <w:topLinePunct w:val="0"/>
        <w:bidi w:val="0"/>
        <w:adjustRightInd/>
        <w:snapToGrid/>
        <w:spacing w:line="56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keepNext w:val="0"/>
        <w:keepLines w:val="0"/>
        <w:pageBreakBefore w:val="0"/>
        <w:shd w:val="clear"/>
        <w:kinsoku/>
        <w:overflowPunct/>
        <w:topLinePunct w:val="0"/>
        <w:bidi w:val="0"/>
        <w:adjustRightInd/>
        <w:snapToGrid/>
        <w:spacing w:line="560" w:lineRule="exact"/>
        <w:jc w:val="center"/>
        <w:textAlignment w:val="auto"/>
        <w:outlineLvl w:val="0"/>
        <w:rPr>
          <w:rFonts w:ascii="黑体" w:hAnsi="黑体" w:eastAsia="黑体"/>
          <w:sz w:val="32"/>
          <w:szCs w:val="32"/>
        </w:rPr>
      </w:pPr>
      <w:bookmarkStart w:id="38" w:name="_Toc24143"/>
      <w:r>
        <w:rPr>
          <w:rFonts w:hint="eastAsia" w:ascii="黑体" w:hAnsi="黑体" w:eastAsia="黑体"/>
          <w:sz w:val="32"/>
          <w:szCs w:val="32"/>
        </w:rPr>
        <w:br w:type="page"/>
      </w:r>
      <w:bookmarkStart w:id="39" w:name="_Toc30038"/>
      <w:r>
        <w:rPr>
          <w:rFonts w:hint="eastAsia" w:ascii="黑体" w:hAnsi="黑体" w:eastAsia="黑体"/>
          <w:sz w:val="32"/>
          <w:szCs w:val="32"/>
        </w:rPr>
        <w:t>第三部分 专业名词解释</w:t>
      </w:r>
      <w:bookmarkEnd w:id="38"/>
      <w:bookmarkEnd w:id="39"/>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keepNext w:val="0"/>
        <w:keepLines w:val="0"/>
        <w:pageBreakBefore w:val="0"/>
        <w:shd w:val="clear"/>
        <w:kinsoku/>
        <w:overflowPunct/>
        <w:topLinePunct w:val="0"/>
        <w:autoSpaceDE w:val="0"/>
        <w:autoSpaceDN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shd w:val="clear"/>
        <w:kinsoku/>
        <w:overflowPunct/>
        <w:topLinePunct w:val="0"/>
        <w:bidi w:val="0"/>
        <w:adjustRightInd/>
        <w:snapToGrid/>
        <w:spacing w:line="560" w:lineRule="exact"/>
        <w:ind w:firstLine="642" w:firstLineChars="200"/>
        <w:textAlignment w:val="auto"/>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keepNext w:val="0"/>
        <w:keepLines w:val="0"/>
        <w:pageBreakBefore w:val="0"/>
        <w:shd w:val="clear"/>
        <w:kinsoku/>
        <w:overflowPunct/>
        <w:topLinePunct w:val="0"/>
        <w:bidi w:val="0"/>
        <w:adjustRightInd/>
        <w:snapToGrid/>
        <w:spacing w:line="560" w:lineRule="exact"/>
        <w:jc w:val="center"/>
        <w:textAlignment w:val="auto"/>
        <w:outlineLvl w:val="0"/>
        <w:rPr>
          <w:rFonts w:ascii="黑体" w:hAnsi="黑体" w:eastAsia="黑体"/>
          <w:sz w:val="32"/>
          <w:szCs w:val="32"/>
        </w:rPr>
      </w:pPr>
      <w:r>
        <w:rPr>
          <w:rFonts w:hint="eastAsia" w:ascii="仿宋_GB2312" w:eastAsia="仿宋_GB2312"/>
          <w:sz w:val="32"/>
          <w:szCs w:val="32"/>
        </w:rPr>
        <w:br w:type="page"/>
      </w:r>
      <w:bookmarkStart w:id="40" w:name="_Toc6831"/>
      <w:r>
        <w:rPr>
          <w:rFonts w:hint="eastAsia" w:ascii="黑体" w:hAnsi="黑体" w:eastAsia="黑体"/>
          <w:sz w:val="32"/>
          <w:szCs w:val="32"/>
        </w:rPr>
        <w:t>第四部分 部门决算报表（见附</w:t>
      </w:r>
      <w:r>
        <w:rPr>
          <w:rFonts w:hint="eastAsia" w:ascii="黑体" w:eastAsia="黑体"/>
          <w:sz w:val="32"/>
          <w:szCs w:val="32"/>
          <w:lang w:val="en-US" w:eastAsia="zh-CN"/>
        </w:rPr>
        <w:t>件</w:t>
      </w:r>
      <w:r>
        <w:rPr>
          <w:rFonts w:hint="eastAsia" w:ascii="黑体" w:hAnsi="黑体" w:eastAsia="黑体"/>
          <w:sz w:val="32"/>
          <w:szCs w:val="32"/>
          <w:lang w:val="en-US" w:eastAsia="zh-CN"/>
        </w:rPr>
        <w:t>1</w:t>
      </w:r>
      <w:r>
        <w:rPr>
          <w:rFonts w:hint="eastAsia" w:ascii="黑体" w:hAnsi="黑体" w:eastAsia="黑体"/>
          <w:sz w:val="32"/>
          <w:szCs w:val="32"/>
        </w:rPr>
        <w:t>）</w:t>
      </w:r>
      <w:bookmarkEnd w:id="40"/>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仿宋_GB2312" w:hAnsi="仿宋_GB2312" w:eastAsia="仿宋_GB2312" w:cs="仿宋_GB2312"/>
          <w:bCs/>
          <w:kern w:val="0"/>
          <w:sz w:val="32"/>
          <w:szCs w:val="32"/>
        </w:rPr>
      </w:pPr>
      <w:bookmarkStart w:id="41" w:name="_Toc6062"/>
      <w:bookmarkStart w:id="42" w:name="_Toc3845"/>
      <w:r>
        <w:rPr>
          <w:rFonts w:hint="eastAsia" w:ascii="仿宋_GB2312" w:hAnsi="仿宋_GB2312" w:eastAsia="仿宋_GB2312" w:cs="仿宋_GB2312"/>
          <w:bCs/>
          <w:kern w:val="0"/>
          <w:sz w:val="32"/>
          <w:szCs w:val="32"/>
        </w:rPr>
        <w:t>一、《收入支出决算总表》</w:t>
      </w:r>
      <w:bookmarkEnd w:id="41"/>
      <w:bookmarkEnd w:id="42"/>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仿宋_GB2312" w:hAnsi="仿宋_GB2312" w:eastAsia="仿宋_GB2312" w:cs="仿宋_GB2312"/>
          <w:bCs/>
          <w:kern w:val="0"/>
          <w:sz w:val="32"/>
          <w:szCs w:val="32"/>
        </w:rPr>
      </w:pPr>
      <w:bookmarkStart w:id="43" w:name="_Toc30364"/>
      <w:bookmarkStart w:id="44" w:name="_Toc11927"/>
      <w:r>
        <w:rPr>
          <w:rFonts w:hint="eastAsia" w:ascii="仿宋_GB2312" w:hAnsi="仿宋_GB2312" w:eastAsia="仿宋_GB2312" w:cs="仿宋_GB2312"/>
          <w:bCs/>
          <w:kern w:val="0"/>
          <w:sz w:val="32"/>
          <w:szCs w:val="32"/>
        </w:rPr>
        <w:t>二、《收入决算表》</w:t>
      </w:r>
      <w:bookmarkEnd w:id="43"/>
      <w:bookmarkEnd w:id="44"/>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仿宋_GB2312" w:hAnsi="仿宋_GB2312" w:eastAsia="仿宋_GB2312" w:cs="仿宋_GB2312"/>
          <w:bCs/>
          <w:kern w:val="0"/>
          <w:sz w:val="32"/>
          <w:szCs w:val="32"/>
        </w:rPr>
      </w:pPr>
      <w:bookmarkStart w:id="45" w:name="_Toc7443"/>
      <w:bookmarkStart w:id="46" w:name="_Toc21304"/>
      <w:r>
        <w:rPr>
          <w:rFonts w:hint="eastAsia" w:ascii="仿宋_GB2312" w:hAnsi="仿宋_GB2312" w:eastAsia="仿宋_GB2312" w:cs="仿宋_GB2312"/>
          <w:bCs/>
          <w:kern w:val="0"/>
          <w:sz w:val="32"/>
          <w:szCs w:val="32"/>
        </w:rPr>
        <w:t>三、《支出决算表》</w:t>
      </w:r>
      <w:bookmarkEnd w:id="45"/>
      <w:bookmarkEnd w:id="46"/>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仿宋_GB2312" w:hAnsi="仿宋_GB2312" w:eastAsia="仿宋_GB2312" w:cs="仿宋_GB2312"/>
          <w:bCs/>
          <w:kern w:val="0"/>
          <w:sz w:val="32"/>
          <w:szCs w:val="32"/>
        </w:rPr>
      </w:pPr>
      <w:bookmarkStart w:id="47" w:name="_Toc24884"/>
      <w:bookmarkStart w:id="48" w:name="_Toc14238"/>
      <w:r>
        <w:rPr>
          <w:rFonts w:hint="eastAsia" w:ascii="仿宋_GB2312" w:hAnsi="仿宋_GB2312" w:eastAsia="仿宋_GB2312" w:cs="仿宋_GB2312"/>
          <w:bCs/>
          <w:kern w:val="0"/>
          <w:sz w:val="32"/>
          <w:szCs w:val="32"/>
        </w:rPr>
        <w:t>四、《财政拨款收入支出决算总表》</w:t>
      </w:r>
      <w:bookmarkEnd w:id="47"/>
      <w:bookmarkEnd w:id="48"/>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仿宋_GB2312" w:hAnsi="仿宋_GB2312" w:eastAsia="仿宋_GB2312" w:cs="仿宋_GB2312"/>
          <w:bCs/>
          <w:kern w:val="0"/>
          <w:sz w:val="32"/>
          <w:szCs w:val="32"/>
        </w:rPr>
      </w:pPr>
      <w:bookmarkStart w:id="49" w:name="_Toc10347"/>
      <w:bookmarkStart w:id="50" w:name="_Toc16518"/>
      <w:r>
        <w:rPr>
          <w:rFonts w:hint="eastAsia" w:ascii="仿宋_GB2312" w:hAnsi="仿宋_GB2312" w:eastAsia="仿宋_GB2312" w:cs="仿宋_GB2312"/>
          <w:bCs/>
          <w:kern w:val="0"/>
          <w:sz w:val="32"/>
          <w:szCs w:val="32"/>
        </w:rPr>
        <w:t>五、《一般公共预算财政拨款支出决算表》</w:t>
      </w:r>
      <w:bookmarkEnd w:id="49"/>
      <w:bookmarkEnd w:id="50"/>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仿宋_GB2312" w:hAnsi="仿宋_GB2312" w:eastAsia="仿宋_GB2312" w:cs="仿宋_GB2312"/>
          <w:bCs/>
          <w:kern w:val="0"/>
          <w:sz w:val="32"/>
          <w:szCs w:val="32"/>
        </w:rPr>
      </w:pPr>
      <w:bookmarkStart w:id="51" w:name="_Toc20514"/>
      <w:bookmarkStart w:id="52" w:name="_Toc5626"/>
      <w:r>
        <w:rPr>
          <w:rFonts w:hint="eastAsia" w:ascii="仿宋_GB2312" w:hAnsi="仿宋_GB2312" w:eastAsia="仿宋_GB2312" w:cs="仿宋_GB2312"/>
          <w:bCs/>
          <w:kern w:val="0"/>
          <w:sz w:val="32"/>
          <w:szCs w:val="32"/>
        </w:rPr>
        <w:t>六、《一般公共预算财政拨款基本支出决算表》</w:t>
      </w:r>
      <w:bookmarkEnd w:id="51"/>
      <w:bookmarkEnd w:id="52"/>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仿宋_GB2312" w:hAnsi="仿宋_GB2312" w:eastAsia="仿宋_GB2312" w:cs="仿宋_GB2312"/>
          <w:bCs/>
          <w:kern w:val="0"/>
          <w:sz w:val="32"/>
          <w:szCs w:val="32"/>
        </w:rPr>
      </w:pPr>
      <w:bookmarkStart w:id="53" w:name="_Toc18055"/>
      <w:bookmarkStart w:id="54" w:name="_Toc5453"/>
      <w:r>
        <w:rPr>
          <w:rFonts w:hint="eastAsia" w:ascii="仿宋_GB2312" w:hAnsi="仿宋_GB2312" w:eastAsia="仿宋_GB2312" w:cs="仿宋_GB2312"/>
          <w:bCs/>
          <w:kern w:val="0"/>
          <w:sz w:val="32"/>
          <w:szCs w:val="32"/>
        </w:rPr>
        <w:t>七、《政府性基金预算财政拨款收入支出决算表》</w:t>
      </w:r>
      <w:bookmarkEnd w:id="53"/>
      <w:bookmarkEnd w:id="54"/>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ascii="仿宋_GB2312" w:hAnsi="仿宋_GB2312" w:eastAsia="仿宋_GB2312" w:cs="仿宋_GB2312"/>
          <w:bCs/>
          <w:kern w:val="0"/>
          <w:sz w:val="32"/>
          <w:szCs w:val="32"/>
        </w:rPr>
      </w:pPr>
      <w:bookmarkStart w:id="55" w:name="_Toc10719"/>
      <w:r>
        <w:rPr>
          <w:rFonts w:hint="eastAsia" w:ascii="仿宋_GB2312" w:hAnsi="仿宋_GB2312" w:eastAsia="仿宋_GB2312" w:cs="仿宋_GB2312"/>
          <w:bCs/>
          <w:kern w:val="0"/>
          <w:sz w:val="32"/>
          <w:szCs w:val="32"/>
        </w:rPr>
        <w:t>八、《国有资本经营预算财政拨款收入支出决算表》</w:t>
      </w:r>
      <w:bookmarkEnd w:id="55"/>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hint="eastAsia" w:ascii="仿宋_GB2312" w:hAnsi="仿宋_GB2312" w:eastAsia="仿宋_GB2312" w:cs="仿宋_GB2312"/>
          <w:bCs/>
          <w:kern w:val="0"/>
          <w:sz w:val="32"/>
          <w:szCs w:val="32"/>
        </w:rPr>
      </w:pPr>
      <w:bookmarkStart w:id="56" w:name="_Toc32663"/>
      <w:bookmarkStart w:id="57" w:name="_Toc18861"/>
      <w:bookmarkStart w:id="58" w:name="_Toc29106"/>
      <w:r>
        <w:rPr>
          <w:rFonts w:hint="eastAsia" w:ascii="仿宋_GB2312" w:hAnsi="仿宋_GB2312" w:eastAsia="仿宋_GB2312" w:cs="仿宋_GB2312"/>
          <w:bCs/>
          <w:kern w:val="0"/>
          <w:sz w:val="32"/>
          <w:szCs w:val="32"/>
        </w:rPr>
        <w:t>九、《财政拨款“三公”经费支出决算表》</w:t>
      </w:r>
      <w:bookmarkEnd w:id="56"/>
      <w:bookmarkEnd w:id="57"/>
      <w:bookmarkEnd w:id="58"/>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hint="eastAsia" w:ascii="仿宋_GB2312" w:hAnsi="仿宋_GB2312" w:eastAsia="仿宋_GB2312" w:cs="仿宋_GB2312"/>
          <w:bCs/>
          <w:kern w:val="0"/>
          <w:sz w:val="32"/>
          <w:szCs w:val="32"/>
        </w:rPr>
      </w:pPr>
    </w:p>
    <w:p>
      <w:pPr>
        <w:keepNext w:val="0"/>
        <w:keepLines w:val="0"/>
        <w:pageBreakBefore w:val="0"/>
        <w:widowControl/>
        <w:shd w:val="clear"/>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ascii="黑体" w:eastAsia="黑体"/>
          <w:sz w:val="32"/>
          <w:szCs w:val="32"/>
        </w:rPr>
        <w:t>第</w:t>
      </w:r>
      <w:r>
        <w:rPr>
          <w:rFonts w:hint="eastAsia" w:ascii="黑体" w:eastAsia="黑体"/>
          <w:sz w:val="32"/>
          <w:szCs w:val="32"/>
          <w:lang w:val="en-US" w:eastAsia="zh-CN"/>
        </w:rPr>
        <w:t>五</w:t>
      </w:r>
      <w:r>
        <w:rPr>
          <w:rFonts w:ascii="黑体" w:eastAsia="黑体"/>
          <w:sz w:val="32"/>
          <w:szCs w:val="32"/>
        </w:rPr>
        <w:t>部分</w:t>
      </w:r>
      <w:r>
        <w:rPr>
          <w:rFonts w:hint="eastAsia" w:ascii="黑体" w:eastAsia="黑体"/>
          <w:sz w:val="32"/>
          <w:szCs w:val="32"/>
          <w:lang w:val="en-US" w:eastAsia="zh-CN"/>
        </w:rPr>
        <w:t xml:space="preserve"> 项目绩效自评表</w:t>
      </w:r>
      <w:r>
        <w:rPr>
          <w:rFonts w:ascii="黑体" w:eastAsia="黑体"/>
          <w:sz w:val="32"/>
          <w:szCs w:val="32"/>
        </w:rPr>
        <w:t>（见附</w:t>
      </w:r>
      <w:r>
        <w:rPr>
          <w:rFonts w:hint="eastAsia" w:ascii="黑体" w:eastAsia="黑体"/>
          <w:sz w:val="32"/>
          <w:szCs w:val="32"/>
          <w:lang w:val="en-US" w:eastAsia="zh-CN"/>
        </w:rPr>
        <w:t>件2</w:t>
      </w:r>
      <w:r>
        <w:rPr>
          <w:rFonts w:ascii="黑体" w:eastAsia="黑体"/>
          <w:sz w:val="32"/>
          <w:szCs w:val="32"/>
        </w:rPr>
        <w:t>）</w:t>
      </w:r>
    </w:p>
    <w:p>
      <w:pPr>
        <w:keepNext w:val="0"/>
        <w:keepLines w:val="0"/>
        <w:pageBreakBefore w:val="0"/>
        <w:widowControl/>
        <w:shd w:val="clear"/>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hint="eastAsia" w:ascii="黑体" w:eastAsia="黑体"/>
          <w:sz w:val="32"/>
          <w:szCs w:val="32"/>
          <w:lang w:val="en-US" w:eastAsia="zh-CN"/>
        </w:rPr>
        <w:t xml:space="preserve">  </w:t>
      </w:r>
      <w:r>
        <w:rPr>
          <w:rFonts w:ascii="黑体" w:eastAsia="黑体"/>
          <w:sz w:val="32"/>
          <w:szCs w:val="32"/>
        </w:rPr>
        <w:t>第</w:t>
      </w:r>
      <w:r>
        <w:rPr>
          <w:rFonts w:hint="eastAsia" w:ascii="黑体" w:eastAsia="黑体"/>
          <w:sz w:val="32"/>
          <w:szCs w:val="32"/>
          <w:lang w:val="en-US" w:eastAsia="zh-CN"/>
        </w:rPr>
        <w:t>六</w:t>
      </w:r>
      <w:r>
        <w:rPr>
          <w:rFonts w:ascii="黑体" w:eastAsia="黑体"/>
          <w:sz w:val="32"/>
          <w:szCs w:val="32"/>
        </w:rPr>
        <w:t>部分</w:t>
      </w:r>
      <w:r>
        <w:rPr>
          <w:rFonts w:hint="eastAsia" w:ascii="黑体" w:eastAsia="黑体"/>
          <w:sz w:val="32"/>
          <w:szCs w:val="32"/>
          <w:lang w:val="en-US" w:eastAsia="zh-CN"/>
        </w:rPr>
        <w:t xml:space="preserve"> 项目绩效自评报告</w:t>
      </w:r>
      <w:r>
        <w:rPr>
          <w:rFonts w:ascii="黑体" w:eastAsia="黑体"/>
          <w:sz w:val="32"/>
          <w:szCs w:val="32"/>
        </w:rPr>
        <w:t>（见附</w:t>
      </w:r>
      <w:r>
        <w:rPr>
          <w:rFonts w:hint="eastAsia" w:ascii="黑体" w:eastAsia="黑体"/>
          <w:sz w:val="32"/>
          <w:szCs w:val="32"/>
          <w:lang w:val="en-US" w:eastAsia="zh-CN"/>
        </w:rPr>
        <w:t>件3</w:t>
      </w:r>
      <w:r>
        <w:rPr>
          <w:rFonts w:ascii="黑体" w:eastAsia="黑体"/>
          <w:sz w:val="32"/>
          <w:szCs w:val="32"/>
        </w:rPr>
        <w:t>）</w:t>
      </w:r>
    </w:p>
    <w:p>
      <w:pPr>
        <w:keepNext w:val="0"/>
        <w:keepLines w:val="0"/>
        <w:pageBreakBefore w:val="0"/>
        <w:widowControl/>
        <w:shd w:val="clear"/>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p>
    <w:p>
      <w:pPr>
        <w:keepNext w:val="0"/>
        <w:keepLines w:val="0"/>
        <w:pageBreakBefore w:val="0"/>
        <w:shd w:val="clear"/>
        <w:kinsoku/>
        <w:overflowPunct/>
        <w:topLinePunct w:val="0"/>
        <w:bidi w:val="0"/>
        <w:adjustRightInd/>
        <w:snapToGrid/>
        <w:spacing w:line="560" w:lineRule="exact"/>
        <w:ind w:firstLine="640" w:firstLineChars="200"/>
        <w:textAlignment w:val="auto"/>
        <w:outlineLvl w:val="1"/>
        <w:rPr>
          <w:rFonts w:hint="eastAsia" w:ascii="仿宋_GB2312" w:hAnsi="仿宋_GB2312" w:eastAsia="仿宋_GB2312" w:cs="仿宋_GB2312"/>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14</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MDAwYmRmZTlkODBlYWI2MWEzOGMyNWRlOTFmY2QzMTQifQ=="/>
  </w:docVars>
  <w:rsids>
    <w:rsidRoot w:val="008E189A"/>
    <w:rsid w:val="00065050"/>
    <w:rsid w:val="000A4376"/>
    <w:rsid w:val="000B1835"/>
    <w:rsid w:val="000F540E"/>
    <w:rsid w:val="00152BA0"/>
    <w:rsid w:val="001A0B38"/>
    <w:rsid w:val="00230223"/>
    <w:rsid w:val="002511AC"/>
    <w:rsid w:val="00316A5E"/>
    <w:rsid w:val="0036207F"/>
    <w:rsid w:val="003C094B"/>
    <w:rsid w:val="004447BB"/>
    <w:rsid w:val="00446873"/>
    <w:rsid w:val="00563201"/>
    <w:rsid w:val="005812A2"/>
    <w:rsid w:val="006254CE"/>
    <w:rsid w:val="00625A73"/>
    <w:rsid w:val="00631948"/>
    <w:rsid w:val="006326FD"/>
    <w:rsid w:val="006B0158"/>
    <w:rsid w:val="006D70BF"/>
    <w:rsid w:val="006E57B5"/>
    <w:rsid w:val="00707579"/>
    <w:rsid w:val="007D1C63"/>
    <w:rsid w:val="00827DCA"/>
    <w:rsid w:val="00880907"/>
    <w:rsid w:val="008D5F2D"/>
    <w:rsid w:val="008E189A"/>
    <w:rsid w:val="0096682A"/>
    <w:rsid w:val="009B1573"/>
    <w:rsid w:val="00A2713A"/>
    <w:rsid w:val="00A46953"/>
    <w:rsid w:val="00B4055C"/>
    <w:rsid w:val="00B41EAC"/>
    <w:rsid w:val="00B80830"/>
    <w:rsid w:val="00B80D4D"/>
    <w:rsid w:val="00C43F78"/>
    <w:rsid w:val="00C603FA"/>
    <w:rsid w:val="00C97C82"/>
    <w:rsid w:val="00CF7F59"/>
    <w:rsid w:val="00DA5B52"/>
    <w:rsid w:val="00E21F6D"/>
    <w:rsid w:val="00E327DF"/>
    <w:rsid w:val="00EA0A0B"/>
    <w:rsid w:val="00EA68BF"/>
    <w:rsid w:val="00EE28E0"/>
    <w:rsid w:val="00EE4DF6"/>
    <w:rsid w:val="00F45766"/>
    <w:rsid w:val="00F76805"/>
    <w:rsid w:val="02F73D26"/>
    <w:rsid w:val="034D4FEF"/>
    <w:rsid w:val="035C5045"/>
    <w:rsid w:val="03DE0026"/>
    <w:rsid w:val="041476CE"/>
    <w:rsid w:val="043E5B56"/>
    <w:rsid w:val="052971A9"/>
    <w:rsid w:val="05962A91"/>
    <w:rsid w:val="05B60A3D"/>
    <w:rsid w:val="06792773"/>
    <w:rsid w:val="07EC0F6B"/>
    <w:rsid w:val="099F7A3A"/>
    <w:rsid w:val="09A729D8"/>
    <w:rsid w:val="0A7B4867"/>
    <w:rsid w:val="0AC21C32"/>
    <w:rsid w:val="0AC260D6"/>
    <w:rsid w:val="0AEA2F37"/>
    <w:rsid w:val="0B8C3ECC"/>
    <w:rsid w:val="0C3613A3"/>
    <w:rsid w:val="0C7227A7"/>
    <w:rsid w:val="0D1B6FF1"/>
    <w:rsid w:val="0DCA6EF7"/>
    <w:rsid w:val="0E4B1576"/>
    <w:rsid w:val="0F044434"/>
    <w:rsid w:val="10320070"/>
    <w:rsid w:val="107E484D"/>
    <w:rsid w:val="109C06D9"/>
    <w:rsid w:val="10BA7217"/>
    <w:rsid w:val="10EC7A09"/>
    <w:rsid w:val="10FB52BE"/>
    <w:rsid w:val="1158509E"/>
    <w:rsid w:val="11E15093"/>
    <w:rsid w:val="120E0809"/>
    <w:rsid w:val="13D8112C"/>
    <w:rsid w:val="149503B7"/>
    <w:rsid w:val="14C111AC"/>
    <w:rsid w:val="17D31922"/>
    <w:rsid w:val="182C4B8E"/>
    <w:rsid w:val="1875698D"/>
    <w:rsid w:val="19071D6C"/>
    <w:rsid w:val="19A90B8D"/>
    <w:rsid w:val="1A2E2E40"/>
    <w:rsid w:val="1AC92B69"/>
    <w:rsid w:val="1C317E4F"/>
    <w:rsid w:val="1C472464"/>
    <w:rsid w:val="1CE617B0"/>
    <w:rsid w:val="1D303373"/>
    <w:rsid w:val="1DAF458D"/>
    <w:rsid w:val="1E086ACE"/>
    <w:rsid w:val="1EAA4A5F"/>
    <w:rsid w:val="1F040613"/>
    <w:rsid w:val="1F5275D0"/>
    <w:rsid w:val="1F587A0B"/>
    <w:rsid w:val="2064678E"/>
    <w:rsid w:val="20CE76B7"/>
    <w:rsid w:val="20DD6197"/>
    <w:rsid w:val="21D116B4"/>
    <w:rsid w:val="21F317F2"/>
    <w:rsid w:val="2241392C"/>
    <w:rsid w:val="23BC04D2"/>
    <w:rsid w:val="23FD2236"/>
    <w:rsid w:val="247D50F0"/>
    <w:rsid w:val="249661B1"/>
    <w:rsid w:val="24D171E9"/>
    <w:rsid w:val="24D82326"/>
    <w:rsid w:val="25275618"/>
    <w:rsid w:val="269404CF"/>
    <w:rsid w:val="27CF2642"/>
    <w:rsid w:val="282459E2"/>
    <w:rsid w:val="28504E67"/>
    <w:rsid w:val="28624AAF"/>
    <w:rsid w:val="28711B44"/>
    <w:rsid w:val="29693E94"/>
    <w:rsid w:val="2A053397"/>
    <w:rsid w:val="2A444FB1"/>
    <w:rsid w:val="2A6064E2"/>
    <w:rsid w:val="2AB40F49"/>
    <w:rsid w:val="2B5B780D"/>
    <w:rsid w:val="2BA9200B"/>
    <w:rsid w:val="2C3E049C"/>
    <w:rsid w:val="2C7A1F15"/>
    <w:rsid w:val="2CBC252D"/>
    <w:rsid w:val="2D1136DF"/>
    <w:rsid w:val="2D2F779D"/>
    <w:rsid w:val="2DAE0E44"/>
    <w:rsid w:val="2F745341"/>
    <w:rsid w:val="2FAD520D"/>
    <w:rsid w:val="2FD27414"/>
    <w:rsid w:val="30F346B4"/>
    <w:rsid w:val="313F1D52"/>
    <w:rsid w:val="318029AB"/>
    <w:rsid w:val="31C63837"/>
    <w:rsid w:val="326F0A17"/>
    <w:rsid w:val="330C763F"/>
    <w:rsid w:val="33574D5E"/>
    <w:rsid w:val="33D97E69"/>
    <w:rsid w:val="34394463"/>
    <w:rsid w:val="34623382"/>
    <w:rsid w:val="352E5F92"/>
    <w:rsid w:val="35527ED3"/>
    <w:rsid w:val="36771963"/>
    <w:rsid w:val="36E83F1F"/>
    <w:rsid w:val="3914510A"/>
    <w:rsid w:val="397A17A6"/>
    <w:rsid w:val="3B1220C9"/>
    <w:rsid w:val="3BEB19C4"/>
    <w:rsid w:val="3D5275AC"/>
    <w:rsid w:val="3EA7725F"/>
    <w:rsid w:val="401D10DD"/>
    <w:rsid w:val="40834692"/>
    <w:rsid w:val="41036525"/>
    <w:rsid w:val="423A32B2"/>
    <w:rsid w:val="42417305"/>
    <w:rsid w:val="429C09DF"/>
    <w:rsid w:val="43FD4DAB"/>
    <w:rsid w:val="44C4421D"/>
    <w:rsid w:val="452B4F5C"/>
    <w:rsid w:val="457C05AD"/>
    <w:rsid w:val="45C443BB"/>
    <w:rsid w:val="464B7E04"/>
    <w:rsid w:val="4687265B"/>
    <w:rsid w:val="46901EEE"/>
    <w:rsid w:val="469C74D2"/>
    <w:rsid w:val="47445515"/>
    <w:rsid w:val="47653A95"/>
    <w:rsid w:val="478F0B12"/>
    <w:rsid w:val="48E21116"/>
    <w:rsid w:val="49544656"/>
    <w:rsid w:val="49C97D5C"/>
    <w:rsid w:val="4A6D4A0F"/>
    <w:rsid w:val="4AD430F4"/>
    <w:rsid w:val="4AE426AE"/>
    <w:rsid w:val="4B451147"/>
    <w:rsid w:val="4B4C0111"/>
    <w:rsid w:val="4D730311"/>
    <w:rsid w:val="4F6933B8"/>
    <w:rsid w:val="4FA353ED"/>
    <w:rsid w:val="505A358E"/>
    <w:rsid w:val="50DB5F45"/>
    <w:rsid w:val="50E83041"/>
    <w:rsid w:val="51EF1AF6"/>
    <w:rsid w:val="52F92565"/>
    <w:rsid w:val="534F73A8"/>
    <w:rsid w:val="54A72465"/>
    <w:rsid w:val="55DA564E"/>
    <w:rsid w:val="56051FA0"/>
    <w:rsid w:val="566858F3"/>
    <w:rsid w:val="56E07045"/>
    <w:rsid w:val="5751442E"/>
    <w:rsid w:val="57943FE9"/>
    <w:rsid w:val="583059FA"/>
    <w:rsid w:val="587E6212"/>
    <w:rsid w:val="58D10A34"/>
    <w:rsid w:val="59973ABF"/>
    <w:rsid w:val="5A0529AB"/>
    <w:rsid w:val="5A33357F"/>
    <w:rsid w:val="5A74678C"/>
    <w:rsid w:val="5A7D47FA"/>
    <w:rsid w:val="5AFC6609"/>
    <w:rsid w:val="5C401F83"/>
    <w:rsid w:val="5C4515F1"/>
    <w:rsid w:val="5C53777D"/>
    <w:rsid w:val="5CA42512"/>
    <w:rsid w:val="5DA54794"/>
    <w:rsid w:val="5DD035A0"/>
    <w:rsid w:val="5F7A755A"/>
    <w:rsid w:val="5FA17648"/>
    <w:rsid w:val="5FB30D55"/>
    <w:rsid w:val="604F6C39"/>
    <w:rsid w:val="608B2343"/>
    <w:rsid w:val="613409CB"/>
    <w:rsid w:val="61A46A97"/>
    <w:rsid w:val="61D03A21"/>
    <w:rsid w:val="62956CB7"/>
    <w:rsid w:val="62C90F25"/>
    <w:rsid w:val="62DD7D21"/>
    <w:rsid w:val="62EF025F"/>
    <w:rsid w:val="63F227BF"/>
    <w:rsid w:val="65C15EE3"/>
    <w:rsid w:val="65D97752"/>
    <w:rsid w:val="664C500C"/>
    <w:rsid w:val="6773145F"/>
    <w:rsid w:val="678C42CF"/>
    <w:rsid w:val="68BA4E6C"/>
    <w:rsid w:val="68DB0208"/>
    <w:rsid w:val="69846A0E"/>
    <w:rsid w:val="69AD798C"/>
    <w:rsid w:val="69CC30A8"/>
    <w:rsid w:val="6AF6662F"/>
    <w:rsid w:val="6B68175F"/>
    <w:rsid w:val="6B8B5C99"/>
    <w:rsid w:val="6BD67709"/>
    <w:rsid w:val="6BEA5A68"/>
    <w:rsid w:val="6BF7B86F"/>
    <w:rsid w:val="6D8617C0"/>
    <w:rsid w:val="6DC02347"/>
    <w:rsid w:val="6E0F7A08"/>
    <w:rsid w:val="6E801ABC"/>
    <w:rsid w:val="6F084B83"/>
    <w:rsid w:val="6F0F4163"/>
    <w:rsid w:val="6F3516F0"/>
    <w:rsid w:val="6F375468"/>
    <w:rsid w:val="6FB42615"/>
    <w:rsid w:val="700C664F"/>
    <w:rsid w:val="71473612"/>
    <w:rsid w:val="716F109A"/>
    <w:rsid w:val="718F7F65"/>
    <w:rsid w:val="71CC00E9"/>
    <w:rsid w:val="72C47013"/>
    <w:rsid w:val="73356BAF"/>
    <w:rsid w:val="73423603"/>
    <w:rsid w:val="735B619A"/>
    <w:rsid w:val="73DE4104"/>
    <w:rsid w:val="73FB6630"/>
    <w:rsid w:val="74CE04EC"/>
    <w:rsid w:val="74E76DCD"/>
    <w:rsid w:val="75A82C1C"/>
    <w:rsid w:val="75D25DBE"/>
    <w:rsid w:val="760F3FF7"/>
    <w:rsid w:val="76660D7C"/>
    <w:rsid w:val="76CF72D3"/>
    <w:rsid w:val="76FF649E"/>
    <w:rsid w:val="773D3837"/>
    <w:rsid w:val="778356EE"/>
    <w:rsid w:val="77ED6F44"/>
    <w:rsid w:val="78232E04"/>
    <w:rsid w:val="782642CC"/>
    <w:rsid w:val="782C04B4"/>
    <w:rsid w:val="78B87A58"/>
    <w:rsid w:val="795A0A34"/>
    <w:rsid w:val="79A84B20"/>
    <w:rsid w:val="79FB30B5"/>
    <w:rsid w:val="7A0D3BC7"/>
    <w:rsid w:val="7A3A3CDB"/>
    <w:rsid w:val="7B1228E5"/>
    <w:rsid w:val="7B537186"/>
    <w:rsid w:val="7EA16AA2"/>
    <w:rsid w:val="7EAC4FE1"/>
    <w:rsid w:val="9BEBCB53"/>
    <w:rsid w:val="BB7E668C"/>
    <w:rsid w:val="BDF71559"/>
    <w:rsid w:val="C9BE47F0"/>
    <w:rsid w:val="FDBF3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 w:type="character" w:customStyle="1" w:styleId="13">
    <w:name w:val="_ps_position"/>
    <w:basedOn w:val="9"/>
    <w:qFormat/>
    <w:uiPriority w:val="0"/>
  </w:style>
  <w:style w:type="character" w:customStyle="1" w:styleId="14">
    <w:name w:val="_ps_target"/>
    <w:basedOn w:val="9"/>
    <w:qFormat/>
    <w:uiPriority w:val="0"/>
  </w:style>
  <w:style w:type="character" w:customStyle="1" w:styleId="15">
    <w:name w:val="_ps_paragraph"/>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6200</Words>
  <Characters>6849</Characters>
  <Lines>56</Lines>
  <Paragraphs>16</Paragraphs>
  <TotalTime>2</TotalTime>
  <ScaleCrop>false</ScaleCrop>
  <LinksUpToDate>false</LinksUpToDate>
  <CharactersWithSpaces>6862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2014-10-31T20:08:00Z</dcterms:created>
  <dc:creator>GXR</dc:creator>
  <cp:lastModifiedBy>wlt</cp:lastModifiedBy>
  <cp:lastPrinted>2025-08-25T11:19:00Z</cp:lastPrinted>
  <dcterms:modified xsi:type="dcterms:W3CDTF">2025-08-28T12:20:24Z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8FDA567F26D84A8C8A1B02E29FDE1AE6_13</vt:lpwstr>
  </property>
  <property fmtid="{D5CDD505-2E9C-101B-9397-08002B2CF9AE}" pid="4" name="KSOTemplateDocerSaveRecord">
    <vt:lpwstr>eyJoZGlkIjoiZmMzYTlmOTQ0MTBhMTM4ZGVhOWEyY2QxYzAxNGM3NjgiLCJ1c2VySWQiOiI0NTI0MTM3ODUifQ==</vt:lpwstr>
  </property>
</Properties>
</file>